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DC0D03">
      <w:pPr>
        <w:tabs>
          <w:tab w:val="left" w:pos="7665"/>
        </w:tabs>
        <w:ind w:left="3680" w:right="736" w:hanging="3680" w:hangingChars="1150"/>
        <w:jc w:val="left"/>
        <w:rPr>
          <w:rFonts w:eastAsia="仿宋_GB2312"/>
          <w:color w:val="auto"/>
          <w:sz w:val="32"/>
          <w:szCs w:val="32"/>
        </w:rPr>
      </w:pPr>
      <w:bookmarkStart w:id="0" w:name="_GoBack"/>
      <w:bookmarkEnd w:id="0"/>
      <w:r>
        <w:rPr>
          <w:rFonts w:eastAsia="仿宋_GB2312"/>
          <w:color w:val="auto"/>
          <w:sz w:val="32"/>
          <w:szCs w:val="32"/>
        </w:rPr>
        <w:t xml:space="preserve">      </w:t>
      </w:r>
    </w:p>
    <w:p w14:paraId="1C90A8A4">
      <w:pPr>
        <w:spacing w:line="120" w:lineRule="auto"/>
        <w:jc w:val="left"/>
        <w:rPr>
          <w:rFonts w:ascii="宋体" w:hAnsi="宋体" w:eastAsia="宋体" w:cs="宋体"/>
          <w:sz w:val="24"/>
          <w:szCs w:val="24"/>
        </w:rPr>
      </w:pPr>
      <w:r>
        <w:rPr>
          <w:rFonts w:ascii="宋体" w:hAnsi="宋体" w:eastAsia="宋体" w:cs="宋体"/>
          <w:sz w:val="24"/>
          <w:szCs w:val="24"/>
        </w:rPr>
        <w:fldChar w:fldCharType="begin"/>
      </w:r>
      <w:r>
        <w:rPr>
          <w:rFonts w:ascii="宋体" w:hAnsi="宋体" w:eastAsia="宋体" w:cs="宋体"/>
          <w:sz w:val="24"/>
          <w:szCs w:val="24"/>
        </w:rPr>
        <w:instrText xml:space="preserve">INCLUDEPICTURE \d "https://www.hutb.edu.cn/www/upload/103814/upload/images/2022-06-08/1654678016889067070.png" \* MERGEFORMATINET </w:instrText>
      </w:r>
      <w:r>
        <w:rPr>
          <w:rFonts w:ascii="宋体" w:hAnsi="宋体" w:eastAsia="宋体" w:cs="宋体"/>
          <w:sz w:val="24"/>
          <w:szCs w:val="24"/>
        </w:rPr>
        <w:fldChar w:fldCharType="separate"/>
      </w:r>
      <w:r>
        <w:rPr>
          <w:rFonts w:ascii="宋体" w:hAnsi="宋体" w:eastAsia="宋体" w:cs="宋体"/>
          <w:sz w:val="24"/>
          <w:szCs w:val="24"/>
        </w:rPr>
        <w:drawing>
          <wp:inline distT="0" distB="0" distL="114300" distR="114300">
            <wp:extent cx="1296035" cy="1296035"/>
            <wp:effectExtent l="0" t="0" r="14605" b="1460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1296035" cy="1296035"/>
                    </a:xfrm>
                    <a:prstGeom prst="rect">
                      <a:avLst/>
                    </a:prstGeom>
                    <a:noFill/>
                    <a:ln>
                      <a:noFill/>
                    </a:ln>
                  </pic:spPr>
                </pic:pic>
              </a:graphicData>
            </a:graphic>
          </wp:inline>
        </w:drawing>
      </w:r>
      <w:r>
        <w:rPr>
          <w:rFonts w:ascii="宋体" w:hAnsi="宋体" w:eastAsia="宋体" w:cs="宋体"/>
          <w:sz w:val="24"/>
          <w:szCs w:val="24"/>
        </w:rPr>
        <w:fldChar w:fldCharType="end"/>
      </w:r>
    </w:p>
    <w:p w14:paraId="3AFFA13F">
      <w:pPr>
        <w:spacing w:line="120" w:lineRule="auto"/>
        <w:jc w:val="left"/>
        <w:rPr>
          <w:rFonts w:hint="eastAsia" w:ascii="宋体" w:hAnsi="宋体" w:eastAsia="宋体" w:cs="宋体"/>
          <w:sz w:val="24"/>
          <w:szCs w:val="24"/>
          <w:lang w:eastAsia="zh-CN"/>
        </w:rPr>
      </w:pPr>
    </w:p>
    <w:p w14:paraId="251711B3">
      <w:pPr>
        <w:keepNext w:val="0"/>
        <w:keepLines w:val="0"/>
        <w:pageBreakBefore w:val="0"/>
        <w:widowControl w:val="0"/>
        <w:tabs>
          <w:tab w:val="left" w:pos="7665"/>
        </w:tabs>
        <w:kinsoku/>
        <w:wordWrap/>
        <w:overflowPunct/>
        <w:topLinePunct w:val="0"/>
        <w:autoSpaceDE/>
        <w:autoSpaceDN/>
        <w:bidi w:val="0"/>
        <w:adjustRightInd/>
        <w:snapToGrid/>
        <w:spacing w:line="480" w:lineRule="auto"/>
        <w:ind w:left="3680" w:right="736" w:hanging="3680" w:hangingChars="1150"/>
        <w:jc w:val="left"/>
        <w:textAlignment w:val="auto"/>
        <w:rPr>
          <w:rFonts w:eastAsia="仿宋_GB2312"/>
          <w:color w:val="auto"/>
          <w:sz w:val="32"/>
          <w:szCs w:val="32"/>
        </w:rPr>
      </w:pPr>
    </w:p>
    <w:p w14:paraId="2E2D7C8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eastAsia="华文行楷"/>
          <w:bCs/>
          <w:color w:val="auto"/>
          <w:sz w:val="72"/>
          <w:szCs w:val="72"/>
        </w:rPr>
      </w:pPr>
      <w:r>
        <w:rPr>
          <w:rFonts w:hint="eastAsia" w:eastAsia="华文行楷"/>
          <w:bCs/>
          <w:color w:val="auto"/>
          <w:sz w:val="72"/>
          <w:szCs w:val="72"/>
          <w:lang w:eastAsia="zh-CN"/>
        </w:rPr>
        <w:t>研究生教育质量</w:t>
      </w:r>
      <w:r>
        <w:rPr>
          <w:rFonts w:eastAsia="华文行楷"/>
          <w:bCs/>
          <w:color w:val="auto"/>
          <w:sz w:val="72"/>
          <w:szCs w:val="72"/>
        </w:rPr>
        <w:t>年度报告</w:t>
      </w:r>
    </w:p>
    <w:p w14:paraId="4FB28A0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eastAsia="华文行楷"/>
          <w:bCs/>
          <w:color w:val="auto"/>
          <w:sz w:val="72"/>
          <w:szCs w:val="72"/>
        </w:rPr>
      </w:pPr>
      <w:r>
        <w:rPr>
          <w:rFonts w:eastAsia="华文楷体"/>
          <w:bCs/>
          <w:color w:val="auto"/>
          <w:sz w:val="72"/>
          <w:szCs w:val="72"/>
        </w:rPr>
        <w:t>（202</w:t>
      </w:r>
      <w:r>
        <w:rPr>
          <w:rFonts w:hint="eastAsia" w:eastAsia="华文楷体"/>
          <w:bCs/>
          <w:color w:val="auto"/>
          <w:sz w:val="72"/>
          <w:szCs w:val="72"/>
          <w:lang w:val="en-US" w:eastAsia="zh-CN"/>
        </w:rPr>
        <w:t>4年度</w:t>
      </w:r>
      <w:r>
        <w:rPr>
          <w:rFonts w:eastAsia="华文楷体"/>
          <w:bCs/>
          <w:color w:val="auto"/>
          <w:sz w:val="72"/>
          <w:szCs w:val="72"/>
        </w:rPr>
        <w:t>）</w:t>
      </w:r>
    </w:p>
    <w:tbl>
      <w:tblPr>
        <w:tblStyle w:val="10"/>
        <w:tblpPr w:leftFromText="180" w:rightFromText="180" w:vertAnchor="text" w:horzAnchor="page" w:tblpXSpec="center" w:tblpY="157"/>
        <w:tblOverlap w:val="never"/>
        <w:tblW w:w="5299" w:type="dxa"/>
        <w:jc w:val="center"/>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271"/>
        <w:gridCol w:w="3028"/>
      </w:tblGrid>
      <w:tr w14:paraId="6CA90D22">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840" w:hRule="atLeast"/>
          <w:jc w:val="center"/>
        </w:trPr>
        <w:tc>
          <w:tcPr>
            <w:tcW w:w="2271" w:type="dxa"/>
            <w:vMerge w:val="restart"/>
            <w:tcBorders>
              <w:top w:val="single" w:color="auto" w:sz="4" w:space="0"/>
              <w:left w:val="single" w:color="auto" w:sz="4" w:space="0"/>
              <w:bottom w:val="single" w:color="auto" w:sz="4" w:space="0"/>
            </w:tcBorders>
            <w:noWrap w:val="0"/>
            <w:vAlign w:val="center"/>
          </w:tcPr>
          <w:p w14:paraId="5A1BAB6B">
            <w:pPr>
              <w:spacing w:line="360" w:lineRule="auto"/>
              <w:jc w:val="right"/>
              <w:rPr>
                <w:rFonts w:eastAsia="仿宋"/>
                <w:color w:val="auto"/>
                <w:sz w:val="32"/>
                <w:szCs w:val="32"/>
              </w:rPr>
            </w:pPr>
            <w:r>
              <w:rPr>
                <w:rFonts w:eastAsia="仿宋"/>
                <w:color w:val="auto"/>
                <w:sz w:val="32"/>
                <w:szCs w:val="32"/>
              </w:rPr>
              <w:t>学位授予单位</w:t>
            </w:r>
          </w:p>
        </w:tc>
        <w:tc>
          <w:tcPr>
            <w:tcW w:w="3028" w:type="dxa"/>
            <w:tcBorders>
              <w:top w:val="single" w:color="auto" w:sz="4" w:space="0"/>
              <w:bottom w:val="single" w:color="auto" w:sz="4" w:space="0"/>
              <w:right w:val="single" w:color="auto" w:sz="4" w:space="0"/>
            </w:tcBorders>
            <w:noWrap w:val="0"/>
            <w:vAlign w:val="center"/>
          </w:tcPr>
          <w:p w14:paraId="05A4ED84">
            <w:pPr>
              <w:spacing w:line="360" w:lineRule="auto"/>
              <w:rPr>
                <w:rFonts w:eastAsia="仿宋"/>
                <w:color w:val="auto"/>
                <w:sz w:val="32"/>
                <w:szCs w:val="32"/>
              </w:rPr>
            </w:pPr>
            <w:r>
              <w:rPr>
                <w:rFonts w:eastAsia="仿宋"/>
                <w:color w:val="auto"/>
                <w:sz w:val="32"/>
                <w:szCs w:val="32"/>
              </w:rPr>
              <w:t>名称：</w:t>
            </w:r>
            <w:r>
              <w:rPr>
                <w:rFonts w:hint="eastAsia" w:eastAsia="仿宋"/>
                <w:color w:val="auto"/>
                <w:sz w:val="32"/>
                <w:szCs w:val="32"/>
                <w:lang w:eastAsia="zh-CN"/>
              </w:rPr>
              <w:t>湖南工商</w:t>
            </w:r>
            <w:r>
              <w:rPr>
                <w:rFonts w:eastAsia="仿宋"/>
                <w:color w:val="auto"/>
                <w:sz w:val="32"/>
                <w:szCs w:val="32"/>
              </w:rPr>
              <w:t>大学</w:t>
            </w:r>
          </w:p>
        </w:tc>
      </w:tr>
      <w:tr w14:paraId="439B9F84">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682" w:hRule="atLeast"/>
          <w:jc w:val="center"/>
        </w:trPr>
        <w:tc>
          <w:tcPr>
            <w:tcW w:w="2271" w:type="dxa"/>
            <w:vMerge w:val="continue"/>
            <w:tcBorders>
              <w:top w:val="single" w:color="auto" w:sz="4" w:space="0"/>
              <w:left w:val="single" w:color="auto" w:sz="4" w:space="0"/>
              <w:bottom w:val="single" w:color="auto" w:sz="4" w:space="0"/>
            </w:tcBorders>
            <w:noWrap w:val="0"/>
            <w:vAlign w:val="top"/>
          </w:tcPr>
          <w:p w14:paraId="5082FCEE">
            <w:pPr>
              <w:spacing w:line="360" w:lineRule="auto"/>
              <w:jc w:val="center"/>
              <w:rPr>
                <w:rFonts w:eastAsia="仿宋"/>
                <w:color w:val="auto"/>
                <w:sz w:val="32"/>
                <w:szCs w:val="32"/>
              </w:rPr>
            </w:pPr>
          </w:p>
        </w:tc>
        <w:tc>
          <w:tcPr>
            <w:tcW w:w="3028" w:type="dxa"/>
            <w:tcBorders>
              <w:top w:val="single" w:color="auto" w:sz="4" w:space="0"/>
              <w:bottom w:val="single" w:color="auto" w:sz="4" w:space="0"/>
              <w:right w:val="single" w:color="auto" w:sz="4" w:space="0"/>
            </w:tcBorders>
            <w:noWrap w:val="0"/>
            <w:vAlign w:val="center"/>
          </w:tcPr>
          <w:p w14:paraId="5B383591">
            <w:pPr>
              <w:spacing w:line="360" w:lineRule="auto"/>
              <w:rPr>
                <w:rFonts w:hint="default" w:eastAsia="仿宋"/>
                <w:color w:val="auto"/>
                <w:sz w:val="32"/>
                <w:szCs w:val="32"/>
                <w:lang w:val="en-US" w:eastAsia="zh-CN"/>
              </w:rPr>
            </w:pPr>
            <w:r>
              <w:rPr>
                <w:rFonts w:eastAsia="仿宋"/>
                <w:color w:val="auto"/>
                <w:sz w:val="32"/>
                <w:szCs w:val="32"/>
              </w:rPr>
              <w:t>代码：10</w:t>
            </w:r>
            <w:r>
              <w:rPr>
                <w:rFonts w:hint="eastAsia" w:eastAsia="仿宋"/>
                <w:color w:val="auto"/>
                <w:sz w:val="32"/>
                <w:szCs w:val="32"/>
                <w:lang w:val="en-US" w:eastAsia="zh-CN"/>
              </w:rPr>
              <w:t>554</w:t>
            </w:r>
          </w:p>
        </w:tc>
      </w:tr>
    </w:tbl>
    <w:p w14:paraId="5760CF45">
      <w:pPr>
        <w:widowControl/>
        <w:spacing w:before="468" w:beforeLines="150" w:afterAutospacing="1"/>
        <w:ind w:firstLine="1374" w:firstLineChars="300"/>
        <w:rPr>
          <w:rFonts w:eastAsia="仿宋"/>
          <w:color w:val="auto"/>
          <w:spacing w:val="69"/>
          <w:kern w:val="0"/>
          <w:position w:val="-15"/>
          <w:sz w:val="32"/>
          <w:szCs w:val="32"/>
          <w:lang w:bidi="ar"/>
        </w:rPr>
      </w:pPr>
    </w:p>
    <w:tbl>
      <w:tblPr>
        <w:tblStyle w:val="10"/>
        <w:tblpPr w:leftFromText="180" w:rightFromText="180" w:vertAnchor="text" w:horzAnchor="page" w:tblpXSpec="center" w:tblpY="873"/>
        <w:tblOverlap w:val="never"/>
        <w:tblW w:w="5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5"/>
        <w:gridCol w:w="2994"/>
      </w:tblGrid>
      <w:tr w14:paraId="7B29A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5" w:type="dxa"/>
            <w:vMerge w:val="restart"/>
            <w:noWrap w:val="0"/>
            <w:vAlign w:val="center"/>
          </w:tcPr>
          <w:p w14:paraId="406B04C7">
            <w:pPr>
              <w:spacing w:line="360" w:lineRule="auto"/>
              <w:jc w:val="center"/>
              <w:rPr>
                <w:rFonts w:eastAsia="仿宋"/>
                <w:color w:val="auto"/>
                <w:sz w:val="32"/>
                <w:szCs w:val="32"/>
              </w:rPr>
            </w:pPr>
            <w:r>
              <w:rPr>
                <w:rFonts w:eastAsia="仿宋"/>
                <w:color w:val="auto"/>
                <w:sz w:val="32"/>
                <w:szCs w:val="32"/>
              </w:rPr>
              <w:t>授 权 学 科</w:t>
            </w:r>
          </w:p>
        </w:tc>
        <w:tc>
          <w:tcPr>
            <w:tcW w:w="2994" w:type="dxa"/>
            <w:noWrap w:val="0"/>
            <w:vAlign w:val="center"/>
          </w:tcPr>
          <w:p w14:paraId="2BCE5691">
            <w:pPr>
              <w:spacing w:line="360" w:lineRule="auto"/>
              <w:rPr>
                <w:rFonts w:eastAsia="仿宋"/>
                <w:color w:val="auto"/>
                <w:sz w:val="32"/>
                <w:szCs w:val="32"/>
              </w:rPr>
            </w:pPr>
            <w:r>
              <w:rPr>
                <w:rFonts w:eastAsia="仿宋"/>
                <w:color w:val="auto"/>
                <w:sz w:val="32"/>
                <w:szCs w:val="32"/>
              </w:rPr>
              <w:t>名称：</w:t>
            </w:r>
            <w:r>
              <w:rPr>
                <w:rFonts w:hint="eastAsia" w:eastAsia="仿宋"/>
                <w:color w:val="auto"/>
                <w:sz w:val="32"/>
                <w:szCs w:val="32"/>
                <w:lang w:eastAsia="zh-CN"/>
              </w:rPr>
              <w:t>旅游</w:t>
            </w:r>
            <w:r>
              <w:rPr>
                <w:rFonts w:eastAsia="仿宋"/>
                <w:color w:val="auto"/>
                <w:sz w:val="32"/>
                <w:szCs w:val="32"/>
              </w:rPr>
              <w:t>管理</w:t>
            </w:r>
          </w:p>
        </w:tc>
      </w:tr>
      <w:tr w14:paraId="13900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5" w:type="dxa"/>
            <w:vMerge w:val="continue"/>
            <w:noWrap w:val="0"/>
            <w:vAlign w:val="top"/>
          </w:tcPr>
          <w:p w14:paraId="6A7BFDF1">
            <w:pPr>
              <w:spacing w:line="360" w:lineRule="auto"/>
              <w:jc w:val="center"/>
              <w:rPr>
                <w:rFonts w:eastAsia="仿宋"/>
                <w:color w:val="auto"/>
                <w:sz w:val="32"/>
                <w:szCs w:val="32"/>
              </w:rPr>
            </w:pPr>
          </w:p>
        </w:tc>
        <w:tc>
          <w:tcPr>
            <w:tcW w:w="2994" w:type="dxa"/>
            <w:noWrap w:val="0"/>
            <w:vAlign w:val="center"/>
          </w:tcPr>
          <w:p w14:paraId="0106341A">
            <w:pPr>
              <w:spacing w:line="360" w:lineRule="auto"/>
              <w:rPr>
                <w:rFonts w:hint="eastAsia" w:eastAsia="仿宋"/>
                <w:color w:val="auto"/>
                <w:sz w:val="32"/>
                <w:szCs w:val="32"/>
                <w:lang w:eastAsia="zh-CN"/>
              </w:rPr>
            </w:pPr>
            <w:r>
              <w:rPr>
                <w:rFonts w:eastAsia="仿宋"/>
                <w:color w:val="auto"/>
                <w:sz w:val="32"/>
                <w:szCs w:val="32"/>
              </w:rPr>
              <w:t>代码：125</w:t>
            </w:r>
            <w:r>
              <w:rPr>
                <w:rFonts w:hint="eastAsia" w:eastAsia="仿宋"/>
                <w:color w:val="auto"/>
                <w:sz w:val="32"/>
                <w:szCs w:val="32"/>
                <w:lang w:val="en-US" w:eastAsia="zh-CN"/>
              </w:rPr>
              <w:t>4</w:t>
            </w:r>
          </w:p>
        </w:tc>
      </w:tr>
    </w:tbl>
    <w:p w14:paraId="23986C5E">
      <w:pPr>
        <w:widowControl/>
        <w:spacing w:before="468" w:beforeLines="150" w:afterAutospacing="1"/>
        <w:ind w:firstLine="1374" w:firstLineChars="300"/>
        <w:rPr>
          <w:rFonts w:eastAsia="仿宋"/>
          <w:color w:val="auto"/>
          <w:spacing w:val="69"/>
          <w:kern w:val="0"/>
          <w:position w:val="-15"/>
          <w:sz w:val="32"/>
          <w:szCs w:val="32"/>
          <w:lang w:bidi="ar"/>
        </w:rPr>
      </w:pPr>
    </w:p>
    <w:p w14:paraId="6C5C376D">
      <w:pPr>
        <w:widowControl/>
        <w:spacing w:before="249" w:beforeLines="80" w:afterAutospacing="1"/>
        <w:ind w:firstLine="1374" w:firstLineChars="300"/>
        <w:jc w:val="left"/>
        <w:rPr>
          <w:rFonts w:eastAsia="仿宋"/>
          <w:color w:val="auto"/>
          <w:spacing w:val="69"/>
          <w:kern w:val="0"/>
          <w:position w:val="-15"/>
          <w:sz w:val="32"/>
          <w:szCs w:val="32"/>
          <w:lang w:bidi="ar"/>
        </w:rPr>
      </w:pPr>
    </w:p>
    <w:tbl>
      <w:tblPr>
        <w:tblStyle w:val="10"/>
        <w:tblpPr w:leftFromText="180" w:rightFromText="180" w:vertAnchor="text" w:horzAnchor="page" w:tblpXSpec="center" w:tblpY="660"/>
        <w:tblOverlap w:val="never"/>
        <w:tblW w:w="5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0"/>
        <w:gridCol w:w="2960"/>
      </w:tblGrid>
      <w:tr w14:paraId="2D910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220" w:type="dxa"/>
            <w:vMerge w:val="restart"/>
            <w:noWrap w:val="0"/>
            <w:vAlign w:val="center"/>
          </w:tcPr>
          <w:p w14:paraId="26467B4F">
            <w:pPr>
              <w:spacing w:line="360" w:lineRule="auto"/>
              <w:jc w:val="center"/>
              <w:rPr>
                <w:rFonts w:eastAsia="仿宋"/>
                <w:color w:val="auto"/>
                <w:sz w:val="32"/>
                <w:szCs w:val="32"/>
              </w:rPr>
            </w:pPr>
            <w:r>
              <w:rPr>
                <w:rFonts w:eastAsia="仿宋"/>
                <w:color w:val="auto"/>
                <w:sz w:val="32"/>
                <w:szCs w:val="32"/>
              </w:rPr>
              <w:t>授 权 级 别</w:t>
            </w:r>
          </w:p>
        </w:tc>
        <w:tc>
          <w:tcPr>
            <w:tcW w:w="2960" w:type="dxa"/>
            <w:noWrap w:val="0"/>
            <w:vAlign w:val="center"/>
          </w:tcPr>
          <w:p w14:paraId="77861C66">
            <w:pPr>
              <w:spacing w:line="360" w:lineRule="auto"/>
              <w:rPr>
                <w:rFonts w:eastAsia="仿宋"/>
                <w:color w:val="auto"/>
                <w:sz w:val="32"/>
                <w:szCs w:val="32"/>
              </w:rPr>
            </w:pPr>
            <w:r>
              <w:rPr>
                <w:rFonts w:eastAsia="仿宋"/>
                <w:color w:val="auto"/>
                <w:spacing w:val="69"/>
                <w:kern w:val="0"/>
                <w:position w:val="-15"/>
                <w:sz w:val="32"/>
                <w:szCs w:val="32"/>
                <w:lang w:bidi="ar"/>
              </w:rPr>
              <w:sym w:font="Wingdings 2" w:char="00A3"/>
            </w:r>
            <w:r>
              <w:rPr>
                <w:rFonts w:eastAsia="仿宋"/>
                <w:color w:val="auto"/>
                <w:spacing w:val="69"/>
                <w:kern w:val="0"/>
                <w:position w:val="-15"/>
                <w:sz w:val="32"/>
                <w:szCs w:val="32"/>
                <w:lang w:bidi="ar"/>
              </w:rPr>
              <w:t>博士</w:t>
            </w:r>
          </w:p>
        </w:tc>
      </w:tr>
      <w:tr w14:paraId="3145D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2220" w:type="dxa"/>
            <w:vMerge w:val="continue"/>
            <w:noWrap w:val="0"/>
            <w:vAlign w:val="top"/>
          </w:tcPr>
          <w:p w14:paraId="275FC273">
            <w:pPr>
              <w:spacing w:line="360" w:lineRule="auto"/>
              <w:jc w:val="center"/>
              <w:rPr>
                <w:rFonts w:eastAsia="仿宋"/>
                <w:color w:val="auto"/>
                <w:sz w:val="32"/>
                <w:szCs w:val="32"/>
              </w:rPr>
            </w:pPr>
          </w:p>
        </w:tc>
        <w:tc>
          <w:tcPr>
            <w:tcW w:w="2960" w:type="dxa"/>
            <w:noWrap w:val="0"/>
            <w:vAlign w:val="center"/>
          </w:tcPr>
          <w:p w14:paraId="586E74C1">
            <w:pPr>
              <w:spacing w:line="360" w:lineRule="auto"/>
              <w:rPr>
                <w:rFonts w:eastAsia="仿宋"/>
                <w:color w:val="auto"/>
                <w:sz w:val="32"/>
                <w:szCs w:val="32"/>
              </w:rPr>
            </w:pPr>
            <w:r>
              <w:rPr>
                <w:rFonts w:eastAsia="仿宋"/>
                <w:color w:val="auto"/>
                <w:sz w:val="32"/>
                <w:szCs w:val="32"/>
              </w:rPr>
              <w:sym w:font="Wingdings 2" w:char="0052"/>
            </w:r>
            <w:r>
              <w:rPr>
                <w:rFonts w:eastAsia="仿宋"/>
                <w:color w:val="auto"/>
                <w:sz w:val="32"/>
                <w:szCs w:val="32"/>
              </w:rPr>
              <w:t>硕 士</w:t>
            </w:r>
          </w:p>
        </w:tc>
      </w:tr>
    </w:tbl>
    <w:p w14:paraId="4F609B7A">
      <w:pPr>
        <w:widowControl/>
        <w:spacing w:before="249" w:beforeLines="80" w:afterAutospacing="1"/>
        <w:ind w:firstLine="1374" w:firstLineChars="300"/>
        <w:jc w:val="left"/>
        <w:rPr>
          <w:rFonts w:eastAsia="仿宋"/>
          <w:color w:val="auto"/>
          <w:spacing w:val="69"/>
          <w:kern w:val="0"/>
          <w:position w:val="-15"/>
          <w:sz w:val="32"/>
          <w:szCs w:val="32"/>
          <w:lang w:bidi="ar"/>
        </w:rPr>
      </w:pPr>
    </w:p>
    <w:p w14:paraId="55EFF707">
      <w:pPr>
        <w:widowControl/>
        <w:spacing w:before="249" w:beforeLines="80" w:afterAutospacing="1"/>
        <w:jc w:val="left"/>
        <w:rPr>
          <w:rFonts w:eastAsia="仿宋"/>
          <w:color w:val="auto"/>
          <w:spacing w:val="69"/>
          <w:kern w:val="0"/>
          <w:position w:val="-15"/>
          <w:sz w:val="32"/>
          <w:szCs w:val="32"/>
          <w:lang w:bidi="ar"/>
        </w:rPr>
      </w:pPr>
    </w:p>
    <w:p w14:paraId="3499B596">
      <w:pPr>
        <w:widowControl/>
        <w:spacing w:before="243" w:afterAutospacing="1"/>
        <w:jc w:val="left"/>
        <w:rPr>
          <w:rFonts w:eastAsia="仿宋"/>
          <w:color w:val="auto"/>
          <w:kern w:val="0"/>
          <w:sz w:val="32"/>
          <w:szCs w:val="32"/>
        </w:rPr>
      </w:pPr>
    </w:p>
    <w:p w14:paraId="03E047E9">
      <w:pPr>
        <w:widowControl/>
        <w:spacing w:before="298" w:afterAutospacing="1"/>
        <w:jc w:val="center"/>
        <w:rPr>
          <w:rFonts w:hint="eastAsia" w:eastAsia="仿宋"/>
          <w:color w:val="auto"/>
          <w:spacing w:val="-11"/>
          <w:kern w:val="0"/>
          <w:sz w:val="32"/>
          <w:szCs w:val="32"/>
          <w:lang w:val="en-US" w:eastAsia="zh-CN" w:bidi="ar"/>
        </w:rPr>
      </w:pPr>
      <w:r>
        <w:rPr>
          <w:rFonts w:eastAsia="仿宋"/>
          <w:color w:val="auto"/>
          <w:spacing w:val="-11"/>
          <w:kern w:val="0"/>
          <w:sz w:val="32"/>
          <w:szCs w:val="32"/>
          <w:lang w:bidi="ar"/>
        </w:rPr>
        <w:t>202</w:t>
      </w:r>
      <w:r>
        <w:rPr>
          <w:rFonts w:hint="eastAsia" w:eastAsia="仿宋"/>
          <w:color w:val="auto"/>
          <w:spacing w:val="-11"/>
          <w:kern w:val="0"/>
          <w:sz w:val="32"/>
          <w:szCs w:val="32"/>
          <w:lang w:val="en-US" w:eastAsia="zh-CN" w:bidi="ar"/>
        </w:rPr>
        <w:t>5</w:t>
      </w:r>
      <w:r>
        <w:rPr>
          <w:rFonts w:eastAsia="仿宋"/>
          <w:color w:val="auto"/>
          <w:spacing w:val="-11"/>
          <w:kern w:val="0"/>
          <w:sz w:val="32"/>
          <w:szCs w:val="32"/>
          <w:lang w:bidi="ar"/>
        </w:rPr>
        <w:t>年</w:t>
      </w:r>
      <w:r>
        <w:rPr>
          <w:rFonts w:hint="eastAsia" w:eastAsia="仿宋"/>
          <w:color w:val="auto"/>
          <w:spacing w:val="-11"/>
          <w:kern w:val="0"/>
          <w:sz w:val="32"/>
          <w:szCs w:val="32"/>
          <w:lang w:val="en-US" w:eastAsia="zh-CN" w:bidi="ar"/>
        </w:rPr>
        <w:t>3</w:t>
      </w:r>
      <w:r>
        <w:rPr>
          <w:rFonts w:eastAsia="仿宋"/>
          <w:color w:val="auto"/>
          <w:spacing w:val="-11"/>
          <w:kern w:val="0"/>
          <w:sz w:val="32"/>
          <w:szCs w:val="32"/>
          <w:lang w:bidi="ar"/>
        </w:rPr>
        <w:t>月</w:t>
      </w:r>
      <w:r>
        <w:rPr>
          <w:rFonts w:hint="eastAsia" w:eastAsia="仿宋"/>
          <w:color w:val="auto"/>
          <w:spacing w:val="-11"/>
          <w:kern w:val="0"/>
          <w:sz w:val="32"/>
          <w:szCs w:val="32"/>
          <w:lang w:val="en-US" w:eastAsia="zh-CN" w:bidi="ar"/>
        </w:rPr>
        <w:t>4日</w:t>
      </w:r>
    </w:p>
    <w:p w14:paraId="2E5E15F8">
      <w:pPr>
        <w:widowControl/>
        <w:spacing w:before="298" w:afterAutospacing="1"/>
        <w:jc w:val="center"/>
        <w:rPr>
          <w:rFonts w:eastAsia="仿宋"/>
          <w:color w:val="auto"/>
          <w:spacing w:val="-11"/>
          <w:kern w:val="0"/>
          <w:sz w:val="32"/>
          <w:szCs w:val="32"/>
          <w:lang w:bidi="ar"/>
        </w:rPr>
      </w:pPr>
    </w:p>
    <w:p w14:paraId="709B78A6">
      <w:pPr>
        <w:numPr>
          <w:ilvl w:val="0"/>
          <w:numId w:val="0"/>
        </w:numPr>
        <w:rPr>
          <w:rFonts w:hint="eastAsia" w:ascii="宋体" w:hAnsi="宋体" w:cs="宋体"/>
          <w:b/>
          <w:bCs/>
          <w:color w:val="000000"/>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6B6BBC9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outlineLvl w:val="0"/>
        <w:rPr>
          <w:rFonts w:hint="eastAsia" w:ascii="Times New Roman" w:hAnsi="Times New Roman" w:eastAsia="黑体" w:cs="Times New Roman"/>
          <w:b w:val="0"/>
          <w:bCs w:val="0"/>
          <w:color w:val="000000"/>
          <w:kern w:val="2"/>
          <w:sz w:val="28"/>
          <w:szCs w:val="28"/>
          <w:lang w:val="en-US" w:eastAsia="zh-CN" w:bidi="ar-SA"/>
        </w:rPr>
      </w:pPr>
      <w:r>
        <w:rPr>
          <w:rFonts w:hint="eastAsia" w:ascii="Times New Roman" w:hAnsi="Times New Roman" w:eastAsia="黑体" w:cs="Times New Roman"/>
          <w:b w:val="0"/>
          <w:bCs w:val="0"/>
          <w:color w:val="000000"/>
          <w:kern w:val="2"/>
          <w:sz w:val="28"/>
          <w:szCs w:val="28"/>
          <w:lang w:val="en-US" w:eastAsia="zh-CN" w:bidi="ar-SA"/>
        </w:rPr>
        <w:t>一、总体概况</w:t>
      </w:r>
    </w:p>
    <w:p w14:paraId="57A702B2">
      <w:pPr>
        <w:pStyle w:val="2"/>
        <w:keepNext w:val="0"/>
        <w:keepLines w:val="0"/>
        <w:pageBreakBefore w:val="0"/>
        <w:widowControl w:val="0"/>
        <w:kinsoku/>
        <w:wordWrap/>
        <w:overflowPunct/>
        <w:topLinePunct w:val="0"/>
        <w:autoSpaceDE/>
        <w:autoSpaceDN/>
        <w:bidi w:val="0"/>
        <w:adjustRightInd/>
        <w:snapToGrid/>
        <w:spacing w:before="0" w:after="0" w:line="520" w:lineRule="exact"/>
        <w:ind w:left="0" w:right="0" w:firstLine="560" w:firstLineChars="200"/>
        <w:textAlignment w:val="auto"/>
        <w:rPr>
          <w:rFonts w:hint="eastAsia" w:ascii="Times New Roman" w:hAnsi="Times New Roman" w:eastAsia="楷体" w:cs="Times New Roman"/>
          <w:b w:val="0"/>
          <w:color w:val="auto"/>
          <w:sz w:val="28"/>
          <w:szCs w:val="28"/>
        </w:rPr>
      </w:pPr>
      <w:r>
        <w:rPr>
          <w:rFonts w:hint="eastAsia" w:ascii="Times New Roman" w:hAnsi="Times New Roman" w:eastAsia="楷体" w:cs="Times New Roman"/>
          <w:b w:val="0"/>
          <w:bCs w:val="0"/>
          <w:color w:val="000000"/>
          <w:kern w:val="2"/>
          <w:sz w:val="28"/>
          <w:szCs w:val="28"/>
          <w:lang w:val="en-US" w:eastAsia="zh-CN" w:bidi="ar-SA"/>
        </w:rPr>
        <w:t>（一）</w:t>
      </w:r>
      <w:r>
        <w:rPr>
          <w:rFonts w:hint="eastAsia" w:ascii="Times New Roman" w:hAnsi="Times New Roman" w:eastAsia="楷体" w:cs="Times New Roman"/>
          <w:b w:val="0"/>
          <w:color w:val="auto"/>
          <w:sz w:val="28"/>
          <w:szCs w:val="28"/>
        </w:rPr>
        <w:t>学位授权点基本情况</w:t>
      </w:r>
    </w:p>
    <w:p w14:paraId="4D774912">
      <w:pPr>
        <w:keepNext w:val="0"/>
        <w:keepLines w:val="0"/>
        <w:pageBreakBefore w:val="0"/>
        <w:widowControl w:val="0"/>
        <w:kinsoku/>
        <w:wordWrap/>
        <w:overflowPunct/>
        <w:topLinePunct w:val="0"/>
        <w:autoSpaceDE/>
        <w:autoSpaceDN/>
        <w:bidi w:val="0"/>
        <w:adjustRightInd/>
        <w:snapToGrid/>
        <w:spacing w:line="520" w:lineRule="exact"/>
        <w:ind w:left="0" w:right="0" w:firstLine="560" w:firstLineChars="200"/>
        <w:textAlignment w:val="auto"/>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t>本学位授权点于202</w:t>
      </w:r>
      <w:r>
        <w:rPr>
          <w:rFonts w:hint="eastAsia" w:ascii="Times New Roman" w:hAnsi="Times New Roman" w:eastAsia="仿宋" w:cs="Times New Roman"/>
          <w:color w:val="auto"/>
          <w:sz w:val="28"/>
          <w:szCs w:val="28"/>
          <w:lang w:val="en-US" w:eastAsia="zh-CN"/>
        </w:rPr>
        <w:t>1</w:t>
      </w:r>
      <w:r>
        <w:rPr>
          <w:rFonts w:hint="eastAsia" w:ascii="Times New Roman" w:hAnsi="Times New Roman" w:eastAsia="仿宋" w:cs="Times New Roman"/>
          <w:color w:val="auto"/>
          <w:sz w:val="28"/>
          <w:szCs w:val="28"/>
          <w:lang w:eastAsia="zh-CN"/>
        </w:rPr>
        <w:t>年</w:t>
      </w:r>
      <w:r>
        <w:rPr>
          <w:rFonts w:hint="eastAsia" w:ascii="Times New Roman" w:hAnsi="Times New Roman" w:eastAsia="仿宋" w:cs="Times New Roman"/>
          <w:color w:val="auto"/>
          <w:sz w:val="28"/>
          <w:szCs w:val="28"/>
          <w:lang w:val="en-US" w:eastAsia="zh-CN"/>
        </w:rPr>
        <w:t>11月（学位〔2021〕14号）</w:t>
      </w:r>
      <w:r>
        <w:rPr>
          <w:rFonts w:hint="eastAsia" w:ascii="Times New Roman" w:hAnsi="Times New Roman" w:eastAsia="仿宋" w:cs="Times New Roman"/>
          <w:color w:val="auto"/>
          <w:sz w:val="28"/>
          <w:szCs w:val="28"/>
          <w:lang w:eastAsia="zh-CN"/>
        </w:rPr>
        <w:t>获批，2023年首次录取招生。本年度是本学位点</w:t>
      </w:r>
      <w:r>
        <w:rPr>
          <w:rFonts w:hint="eastAsia" w:ascii="Times New Roman" w:hAnsi="Times New Roman" w:eastAsia="仿宋" w:cs="Times New Roman"/>
          <w:color w:val="auto"/>
          <w:sz w:val="28"/>
          <w:szCs w:val="28"/>
          <w:lang w:val="en-US" w:eastAsia="zh-CN"/>
        </w:rPr>
        <w:t>的重要</w:t>
      </w:r>
      <w:r>
        <w:rPr>
          <w:rFonts w:hint="eastAsia" w:ascii="Times New Roman" w:hAnsi="Times New Roman" w:eastAsia="仿宋" w:cs="Times New Roman"/>
          <w:color w:val="auto"/>
          <w:sz w:val="28"/>
          <w:szCs w:val="28"/>
          <w:lang w:eastAsia="zh-CN"/>
        </w:rPr>
        <w:t>建设之年。</w:t>
      </w:r>
    </w:p>
    <w:p w14:paraId="39EA3143">
      <w:pPr>
        <w:keepNext w:val="0"/>
        <w:keepLines w:val="0"/>
        <w:pageBreakBefore w:val="0"/>
        <w:widowControl w:val="0"/>
        <w:kinsoku/>
        <w:wordWrap/>
        <w:overflowPunct/>
        <w:topLinePunct w:val="0"/>
        <w:autoSpaceDE/>
        <w:autoSpaceDN/>
        <w:bidi w:val="0"/>
        <w:adjustRightInd/>
        <w:snapToGrid/>
        <w:spacing w:line="520" w:lineRule="exact"/>
        <w:ind w:left="0" w:right="0" w:firstLine="560" w:firstLineChars="200"/>
        <w:textAlignment w:val="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本学位点积极</w:t>
      </w:r>
      <w:r>
        <w:rPr>
          <w:rFonts w:hint="eastAsia" w:ascii="Times New Roman" w:hAnsi="Times New Roman" w:eastAsia="仿宋" w:cs="Times New Roman"/>
          <w:color w:val="auto"/>
          <w:sz w:val="28"/>
          <w:szCs w:val="28"/>
        </w:rPr>
        <w:t>对接国家乡村振兴战略，落实湖南省“三高四新”的使命任务，满足文旅融合发展新需求，把握大数据、人工智能、智慧旅游的发展趋势，依托国家级人才培养模式创新试验区项目，围绕旅游规划与资源开发</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智慧旅游与创新发展</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文旅融合与绿色发展</w:t>
      </w:r>
      <w:r>
        <w:rPr>
          <w:rFonts w:hint="eastAsia" w:ascii="Times New Roman" w:hAnsi="Times New Roman" w:eastAsia="仿宋" w:cs="Times New Roman"/>
          <w:color w:val="auto"/>
          <w:sz w:val="28"/>
          <w:szCs w:val="28"/>
        </w:rPr>
        <w:t>三个方面开展研究，培养掌握新兴信息技术、具备创新创业理念和实践能力的高级旅游管理人才。</w:t>
      </w:r>
    </w:p>
    <w:p w14:paraId="37CF5E6C">
      <w:pPr>
        <w:keepNext w:val="0"/>
        <w:keepLines w:val="0"/>
        <w:pageBreakBefore w:val="0"/>
        <w:widowControl w:val="0"/>
        <w:kinsoku/>
        <w:wordWrap/>
        <w:overflowPunct/>
        <w:topLinePunct w:val="0"/>
        <w:autoSpaceDE/>
        <w:autoSpaceDN/>
        <w:bidi w:val="0"/>
        <w:adjustRightInd/>
        <w:snapToGrid/>
        <w:spacing w:line="520" w:lineRule="exact"/>
        <w:ind w:left="0" w:right="0" w:firstLine="560" w:firstLineChars="200"/>
        <w:textAlignment w:val="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由行业资深专家与校内骨干教授领衔学科专业建设，学院核心管理团队统筹学位点建设与办学管理工作。办学过程中紧扣MTA学位建设标准，聚焦旅游产业数字化发展趋势，以“新工科+新商科+新文科”</w:t>
      </w:r>
      <w:r>
        <w:rPr>
          <w:rFonts w:hint="eastAsia" w:ascii="Times New Roman" w:hAnsi="Times New Roman" w:eastAsia="仿宋" w:cs="Times New Roman"/>
          <w:color w:val="auto"/>
          <w:sz w:val="28"/>
          <w:szCs w:val="28"/>
          <w:lang w:val="en-US" w:eastAsia="zh-CN"/>
        </w:rPr>
        <w:t>与理科交叉</w:t>
      </w:r>
      <w:r>
        <w:rPr>
          <w:rFonts w:hint="eastAsia" w:ascii="Times New Roman" w:hAnsi="Times New Roman" w:eastAsia="仿宋" w:cs="Times New Roman"/>
          <w:color w:val="auto"/>
          <w:sz w:val="28"/>
          <w:szCs w:val="28"/>
        </w:rPr>
        <w:t>融合为特色，围绕智慧旅游管理、文旅融合发展等核心领域，以“培育文旅行业卓越管理者”为目标，致力于培养具有优秀的沟通能力和解决实际问题的综合能力，能够胜任现代旅游业实际工作需要的高层次、应用型、复合型专门人才。</w:t>
      </w:r>
    </w:p>
    <w:p w14:paraId="0B7712B2">
      <w:pPr>
        <w:pStyle w:val="2"/>
        <w:keepNext w:val="0"/>
        <w:keepLines w:val="0"/>
        <w:pageBreakBefore w:val="0"/>
        <w:widowControl w:val="0"/>
        <w:kinsoku/>
        <w:wordWrap/>
        <w:overflowPunct/>
        <w:topLinePunct w:val="0"/>
        <w:autoSpaceDE/>
        <w:autoSpaceDN/>
        <w:bidi w:val="0"/>
        <w:adjustRightInd/>
        <w:snapToGrid/>
        <w:spacing w:before="0" w:after="0" w:line="520" w:lineRule="exact"/>
        <w:ind w:left="0" w:right="0" w:firstLine="560" w:firstLineChars="200"/>
        <w:textAlignment w:val="auto"/>
        <w:rPr>
          <w:rFonts w:hint="eastAsia" w:ascii="Times New Roman" w:hAnsi="Times New Roman" w:eastAsia="楷体" w:cs="Times New Roman"/>
          <w:b w:val="0"/>
          <w:color w:val="000000"/>
          <w:sz w:val="28"/>
          <w:szCs w:val="28"/>
          <w:lang w:eastAsia="zh-CN"/>
        </w:rPr>
      </w:pPr>
      <w:r>
        <w:rPr>
          <w:rFonts w:hint="eastAsia" w:ascii="Times New Roman" w:hAnsi="Times New Roman" w:eastAsia="楷体" w:cs="Times New Roman"/>
          <w:b w:val="0"/>
          <w:bCs w:val="0"/>
          <w:color w:val="000000"/>
          <w:kern w:val="2"/>
          <w:sz w:val="28"/>
          <w:szCs w:val="28"/>
          <w:lang w:val="en-US" w:eastAsia="zh-CN" w:bidi="ar-SA"/>
        </w:rPr>
        <w:t>（二）</w:t>
      </w:r>
      <w:r>
        <w:rPr>
          <w:rFonts w:hint="eastAsia" w:ascii="Times New Roman" w:hAnsi="Times New Roman" w:eastAsia="楷体" w:cs="Times New Roman"/>
          <w:b w:val="0"/>
          <w:color w:val="000000"/>
          <w:sz w:val="28"/>
          <w:szCs w:val="28"/>
          <w:lang w:eastAsia="zh-CN"/>
        </w:rPr>
        <w:t>学位授权点建设情况</w:t>
      </w:r>
    </w:p>
    <w:p w14:paraId="115DC6BA">
      <w:pPr>
        <w:keepNext w:val="0"/>
        <w:keepLines w:val="0"/>
        <w:pageBreakBefore w:val="0"/>
        <w:widowControl w:val="0"/>
        <w:kinsoku/>
        <w:wordWrap/>
        <w:overflowPunct/>
        <w:topLinePunct w:val="0"/>
        <w:autoSpaceDE/>
        <w:autoSpaceDN/>
        <w:bidi w:val="0"/>
        <w:adjustRightInd/>
        <w:snapToGrid/>
        <w:spacing w:line="520" w:lineRule="exact"/>
        <w:ind w:left="0" w:right="0" w:firstLine="560" w:firstLineChars="200"/>
        <w:textAlignment w:val="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本学位点立足立德树人根本任务，参照《研究生教育学科专业简介及其学位基本要求</w:t>
      </w:r>
      <w:r>
        <w:rPr>
          <w:rFonts w:hint="eastAsia" w:ascii="Times New Roman" w:hAnsi="Times New Roman" w:cs="Times New Roman"/>
          <w:color w:val="auto"/>
          <w:sz w:val="28"/>
          <w:szCs w:val="28"/>
          <w:lang w:val="en-US" w:eastAsia="zh-CN"/>
        </w:rPr>
        <w:t>（</w:t>
      </w:r>
      <w:r>
        <w:rPr>
          <w:rFonts w:hint="eastAsia" w:ascii="Times New Roman" w:hAnsi="Times New Roman" w:eastAsia="仿宋" w:cs="Times New Roman"/>
          <w:color w:val="auto"/>
          <w:sz w:val="28"/>
          <w:szCs w:val="28"/>
          <w:lang w:val="en-US" w:eastAsia="zh-CN"/>
        </w:rPr>
        <w:t>试行版</w:t>
      </w:r>
      <w:r>
        <w:rPr>
          <w:rFonts w:hint="eastAsia" w:ascii="Times New Roman" w:hAnsi="Times New Roman" w:cs="Times New Roman"/>
          <w:color w:val="auto"/>
          <w:sz w:val="28"/>
          <w:szCs w:val="28"/>
          <w:lang w:val="en-US" w:eastAsia="zh-CN"/>
        </w:rPr>
        <w:t>）</w:t>
      </w:r>
      <w:r>
        <w:rPr>
          <w:rFonts w:hint="eastAsia" w:ascii="Times New Roman" w:hAnsi="Times New Roman" w:eastAsia="仿宋" w:cs="Times New Roman"/>
          <w:color w:val="auto"/>
          <w:sz w:val="28"/>
          <w:szCs w:val="28"/>
          <w:lang w:val="en-US" w:eastAsia="zh-CN"/>
        </w:rPr>
        <w:t>》，积极响应国家将旅游业建设成为战略性支柱产业的要求，适应旅游业市场化、国际化的发展趋势，围绕湖湘文化、数智文旅、绿色旅游等领域布局了旅游规划与资源开发、智慧旅游与创新发展、文旅融合与绿色发展三个特色鲜明的研究方向，构建了从宏观战略到微观运营、多层级协同的学科体系。</w:t>
      </w:r>
    </w:p>
    <w:p w14:paraId="2A666B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562" w:firstLineChars="200"/>
        <w:jc w:val="both"/>
        <w:textAlignment w:val="auto"/>
        <w:outlineLvl w:val="9"/>
        <w:rPr>
          <w:rFonts w:hint="eastAsia" w:ascii="Times New Roman" w:hAnsi="Times New Roman" w:eastAsia="仿宋" w:cs="Times New Roman"/>
          <w:b/>
          <w:bCs/>
          <w:color w:val="auto"/>
          <w:sz w:val="28"/>
          <w:szCs w:val="28"/>
          <w:lang w:bidi="zh-CN"/>
        </w:rPr>
      </w:pPr>
      <w:r>
        <w:rPr>
          <w:rFonts w:hint="eastAsia" w:ascii="Times New Roman" w:hAnsi="Times New Roman" w:eastAsia="仿宋" w:cs="Times New Roman"/>
          <w:b/>
          <w:bCs/>
          <w:color w:val="auto"/>
          <w:sz w:val="28"/>
          <w:szCs w:val="28"/>
          <w:lang w:val="en-US" w:eastAsia="zh-CN" w:bidi="zh-CN"/>
        </w:rPr>
        <w:t>1.旅游规划与资源开发</w:t>
      </w:r>
    </w:p>
    <w:p w14:paraId="34C16CFD">
      <w:pPr>
        <w:keepNext w:val="0"/>
        <w:keepLines w:val="0"/>
        <w:pageBreakBefore w:val="0"/>
        <w:widowControl w:val="0"/>
        <w:kinsoku/>
        <w:wordWrap/>
        <w:overflowPunct/>
        <w:topLinePunct w:val="0"/>
        <w:autoSpaceDE/>
        <w:autoSpaceDN/>
        <w:bidi w:val="0"/>
        <w:adjustRightInd/>
        <w:snapToGrid/>
        <w:spacing w:line="520" w:lineRule="exact"/>
        <w:ind w:left="0" w:right="0" w:firstLine="560" w:firstLineChars="200"/>
        <w:textAlignment w:val="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本方向应用区域发展理论、旅游学基本理论、规划理论，将GIS与旅游大数据相结合，研究区域旅游产业、住宿产业、体育产业、会展产业等相关产业的发展战略与规划，深入探索旅游目的地开发与管理、旅游资源开发与可持续发展等问题。</w:t>
      </w:r>
    </w:p>
    <w:p w14:paraId="13A669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562" w:firstLineChars="200"/>
        <w:jc w:val="both"/>
        <w:textAlignment w:val="auto"/>
        <w:outlineLvl w:val="9"/>
        <w:rPr>
          <w:rFonts w:hint="default" w:ascii="Times New Roman" w:hAnsi="Times New Roman" w:eastAsia="仿宋" w:cs="Times New Roman"/>
          <w:b/>
          <w:bCs/>
          <w:color w:val="auto"/>
          <w:sz w:val="28"/>
          <w:szCs w:val="28"/>
          <w:lang w:bidi="zh-CN"/>
        </w:rPr>
      </w:pPr>
      <w:r>
        <w:rPr>
          <w:rFonts w:hint="eastAsia" w:ascii="Times New Roman" w:hAnsi="Times New Roman" w:eastAsia="仿宋" w:cs="Times New Roman"/>
          <w:b/>
          <w:bCs/>
          <w:color w:val="auto"/>
          <w:sz w:val="28"/>
          <w:szCs w:val="28"/>
          <w:lang w:val="en-US" w:eastAsia="zh-CN" w:bidi="zh-CN"/>
        </w:rPr>
        <w:t>2.</w:t>
      </w:r>
      <w:r>
        <w:rPr>
          <w:rFonts w:hint="default" w:ascii="Times New Roman" w:hAnsi="Times New Roman" w:eastAsia="仿宋" w:cs="Times New Roman"/>
          <w:b/>
          <w:bCs/>
          <w:color w:val="auto"/>
          <w:sz w:val="28"/>
          <w:szCs w:val="28"/>
          <w:lang w:val="en-US" w:eastAsia="zh-CN" w:bidi="zh-CN"/>
        </w:rPr>
        <w:t>智慧旅游与创新发展</w:t>
      </w:r>
    </w:p>
    <w:p w14:paraId="3CA2DCC6">
      <w:pPr>
        <w:keepNext w:val="0"/>
        <w:keepLines w:val="0"/>
        <w:pageBreakBefore w:val="0"/>
        <w:widowControl w:val="0"/>
        <w:kinsoku/>
        <w:wordWrap/>
        <w:overflowPunct/>
        <w:topLinePunct w:val="0"/>
        <w:autoSpaceDE/>
        <w:autoSpaceDN/>
        <w:bidi w:val="0"/>
        <w:adjustRightInd/>
        <w:snapToGrid/>
        <w:spacing w:line="520" w:lineRule="exact"/>
        <w:ind w:left="0" w:right="0" w:firstLine="560" w:firstLineChars="200"/>
        <w:textAlignment w:val="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本方向顺应数字旅游发展，基于文旅产业供给侧改革趋势，运用移动互联网、大数据、AI、AR与VR等数字技术，深入研究城市和景区的智慧旅游服务、运营和决策支持系统，探索旅游新业态的发展机制、模式和路径，为区域旅游高质量发展服务。</w:t>
      </w:r>
    </w:p>
    <w:p w14:paraId="1E30CE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562" w:firstLineChars="200"/>
        <w:jc w:val="both"/>
        <w:textAlignment w:val="auto"/>
        <w:outlineLvl w:val="9"/>
        <w:rPr>
          <w:rFonts w:hint="default" w:ascii="Times New Roman" w:hAnsi="Times New Roman" w:eastAsia="仿宋" w:cs="Times New Roman"/>
          <w:b/>
          <w:bCs/>
          <w:color w:val="auto"/>
          <w:sz w:val="28"/>
          <w:szCs w:val="28"/>
          <w:lang w:bidi="zh-CN"/>
        </w:rPr>
      </w:pPr>
      <w:r>
        <w:rPr>
          <w:rFonts w:hint="eastAsia" w:ascii="Times New Roman" w:hAnsi="Times New Roman" w:eastAsia="仿宋" w:cs="Times New Roman"/>
          <w:b/>
          <w:bCs/>
          <w:color w:val="auto"/>
          <w:sz w:val="28"/>
          <w:szCs w:val="28"/>
          <w:lang w:val="en-US" w:eastAsia="zh-CN" w:bidi="zh-CN"/>
        </w:rPr>
        <w:t>3.</w:t>
      </w:r>
      <w:r>
        <w:rPr>
          <w:rFonts w:hint="default" w:ascii="Times New Roman" w:hAnsi="Times New Roman" w:eastAsia="仿宋" w:cs="Times New Roman"/>
          <w:b/>
          <w:bCs/>
          <w:color w:val="auto"/>
          <w:sz w:val="28"/>
          <w:szCs w:val="28"/>
          <w:lang w:val="en-US" w:eastAsia="zh-CN" w:bidi="zh-CN"/>
        </w:rPr>
        <w:t>文旅融合与绿色发展</w:t>
      </w:r>
    </w:p>
    <w:p w14:paraId="36259CC1">
      <w:pPr>
        <w:keepNext w:val="0"/>
        <w:keepLines w:val="0"/>
        <w:pageBreakBefore w:val="0"/>
        <w:widowControl w:val="0"/>
        <w:kinsoku/>
        <w:wordWrap/>
        <w:overflowPunct/>
        <w:topLinePunct w:val="0"/>
        <w:autoSpaceDE/>
        <w:autoSpaceDN/>
        <w:bidi w:val="0"/>
        <w:adjustRightInd/>
        <w:snapToGrid/>
        <w:spacing w:line="520" w:lineRule="exact"/>
        <w:ind w:left="0" w:right="0" w:firstLine="560" w:firstLineChars="200"/>
        <w:textAlignment w:val="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本方向顺应国家文旅融合与生态文明建设的战略思想，以传承优秀文化促进旅游产业绿色发展为目标，通过挖掘湖湘文化促进旅游发展，通过校企合作、产教融合、数字赋能机制，培养能够推动文化与旅游深度融合、践行可持续发展理念的高层次、应用型、复合型人才。</w:t>
      </w:r>
    </w:p>
    <w:p w14:paraId="2808D9E6">
      <w:pPr>
        <w:keepNext w:val="0"/>
        <w:keepLines w:val="0"/>
        <w:pageBreakBefore w:val="0"/>
        <w:widowControl w:val="0"/>
        <w:kinsoku/>
        <w:wordWrap/>
        <w:overflowPunct/>
        <w:topLinePunct w:val="0"/>
        <w:autoSpaceDE/>
        <w:autoSpaceDN/>
        <w:bidi w:val="0"/>
        <w:adjustRightInd/>
        <w:snapToGrid/>
        <w:spacing w:line="520" w:lineRule="exact"/>
        <w:ind w:left="0" w:right="0" w:firstLine="560" w:firstLineChars="200"/>
        <w:textAlignment w:val="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202</w:t>
      </w:r>
      <w:r>
        <w:rPr>
          <w:rFonts w:hint="eastAsia" w:ascii="Times New Roman" w:hAnsi="Times New Roman" w:eastAsia="仿宋" w:cs="Times New Roman"/>
          <w:color w:val="auto"/>
          <w:sz w:val="28"/>
          <w:szCs w:val="28"/>
          <w:lang w:val="en-US" w:eastAsia="zh-CN"/>
        </w:rPr>
        <w:t>4</w:t>
      </w:r>
      <w:r>
        <w:rPr>
          <w:rFonts w:hint="eastAsia" w:ascii="Times New Roman" w:hAnsi="Times New Roman" w:eastAsia="仿宋" w:cs="Times New Roman"/>
          <w:color w:val="auto"/>
          <w:sz w:val="28"/>
          <w:szCs w:val="28"/>
          <w:lang w:eastAsia="zh-CN"/>
        </w:rPr>
        <w:t>年，通过持续强化内涵建设，夯实人才培养基础，加强制度建设，进一步巩固了区域优质旅游管理教育品牌基础，为湖南乃至全国文旅产业现代化发展提供了坚实的智力支持与人才保障。</w:t>
      </w:r>
    </w:p>
    <w:p w14:paraId="6A4C80EC">
      <w:pPr>
        <w:pStyle w:val="2"/>
        <w:keepNext w:val="0"/>
        <w:keepLines w:val="0"/>
        <w:pageBreakBefore w:val="0"/>
        <w:widowControl w:val="0"/>
        <w:kinsoku/>
        <w:wordWrap/>
        <w:overflowPunct/>
        <w:topLinePunct w:val="0"/>
        <w:autoSpaceDE/>
        <w:autoSpaceDN/>
        <w:bidi w:val="0"/>
        <w:adjustRightInd/>
        <w:snapToGrid/>
        <w:spacing w:before="0" w:after="0" w:line="520" w:lineRule="exact"/>
        <w:ind w:left="0" w:right="0" w:firstLine="560" w:firstLineChars="200"/>
        <w:textAlignment w:val="auto"/>
        <w:rPr>
          <w:rFonts w:hint="eastAsia" w:ascii="Times New Roman" w:hAnsi="Times New Roman" w:eastAsia="楷体" w:cs="Times New Roman"/>
          <w:b w:val="0"/>
          <w:color w:val="000000"/>
          <w:kern w:val="2"/>
          <w:sz w:val="28"/>
          <w:szCs w:val="28"/>
          <w:lang w:val="en-US" w:eastAsia="zh-CN" w:bidi="ar-SA"/>
        </w:rPr>
      </w:pPr>
      <w:r>
        <w:rPr>
          <w:rFonts w:hint="eastAsia" w:ascii="Times New Roman" w:hAnsi="Times New Roman" w:eastAsia="楷体" w:cs="Times New Roman"/>
          <w:b w:val="0"/>
          <w:bCs w:val="0"/>
          <w:color w:val="000000"/>
          <w:sz w:val="28"/>
          <w:szCs w:val="28"/>
          <w:lang w:val="en-US" w:eastAsia="zh-CN"/>
        </w:rPr>
        <w:t>（三）</w:t>
      </w:r>
      <w:r>
        <w:rPr>
          <w:rFonts w:hint="eastAsia" w:ascii="Times New Roman" w:hAnsi="Times New Roman" w:eastAsia="楷体" w:cs="Times New Roman"/>
          <w:b w:val="0"/>
          <w:color w:val="000000"/>
          <w:kern w:val="2"/>
          <w:sz w:val="28"/>
          <w:szCs w:val="28"/>
          <w:lang w:val="en-US" w:eastAsia="zh-CN" w:bidi="ar-SA"/>
        </w:rPr>
        <w:t>招生、在读、毕业等基本状况</w:t>
      </w:r>
    </w:p>
    <w:p w14:paraId="27118DC6">
      <w:pPr>
        <w:keepNext w:val="0"/>
        <w:keepLines w:val="0"/>
        <w:pageBreakBefore w:val="0"/>
        <w:widowControl w:val="0"/>
        <w:kinsoku/>
        <w:wordWrap/>
        <w:overflowPunct/>
        <w:topLinePunct w:val="0"/>
        <w:autoSpaceDE/>
        <w:autoSpaceDN/>
        <w:bidi w:val="0"/>
        <w:adjustRightInd/>
        <w:snapToGrid/>
        <w:spacing w:line="520" w:lineRule="exact"/>
        <w:ind w:left="0" w:right="0" w:firstLine="560" w:firstLineChars="200"/>
        <w:textAlignment w:val="auto"/>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本学位点经过一年时间的研究生培养探索，总体有了较大提升。学院层面也加强了研究生复试考试管理，严肃考风考纪，结合我院实际情况制定了《公共管理与人文地理学院2024年硕士研究生复试录取工作方案》，严格按照复试工作要求组织完成了难度大、调剂次数多的复试工作，形成研究生招生复试和录取各个关键环节的程序保障，促进了中心招生录取工作的规范化、制度化和标准化，保障了在稳定生源数量的基础上提高生源质量。共录取2024级旅游管理硕士全日制10人，全面完成学校划定的招生任务指标，招生人数较去年大幅增长。</w:t>
      </w:r>
    </w:p>
    <w:p w14:paraId="297AF5C7">
      <w:pPr>
        <w:keepNext w:val="0"/>
        <w:keepLines w:val="0"/>
        <w:pageBreakBefore w:val="0"/>
        <w:widowControl w:val="0"/>
        <w:kinsoku/>
        <w:wordWrap/>
        <w:overflowPunct/>
        <w:topLinePunct w:val="0"/>
        <w:autoSpaceDE/>
        <w:autoSpaceDN/>
        <w:bidi w:val="0"/>
        <w:adjustRightInd/>
        <w:snapToGrid/>
        <w:spacing w:line="520" w:lineRule="exact"/>
        <w:ind w:left="0" w:right="0" w:firstLine="560" w:firstLineChars="200"/>
        <w:textAlignment w:val="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本年度暂</w:t>
      </w:r>
      <w:r>
        <w:rPr>
          <w:rFonts w:hint="eastAsia" w:ascii="Times New Roman" w:hAnsi="Times New Roman" w:eastAsia="仿宋" w:cs="Times New Roman"/>
          <w:color w:val="auto"/>
          <w:sz w:val="28"/>
          <w:szCs w:val="28"/>
        </w:rPr>
        <w:t>无在读、毕业学生。</w:t>
      </w:r>
    </w:p>
    <w:p w14:paraId="09D395DC">
      <w:pPr>
        <w:keepNext w:val="0"/>
        <w:keepLines w:val="0"/>
        <w:numPr>
          <w:ilvl w:val="0"/>
          <w:numId w:val="0"/>
        </w:numPr>
        <w:spacing w:line="520" w:lineRule="exact"/>
        <w:ind w:firstLine="560" w:firstLineChars="200"/>
        <w:outlineLvl w:val="0"/>
        <w:rPr>
          <w:rFonts w:hint="eastAsia" w:ascii="Times New Roman" w:hAnsi="Times New Roman" w:eastAsia="黑体" w:cs="Times New Roman"/>
          <w:b w:val="0"/>
          <w:bCs w:val="0"/>
          <w:color w:val="000000"/>
          <w:kern w:val="2"/>
          <w:sz w:val="28"/>
          <w:szCs w:val="28"/>
          <w:lang w:val="en-US" w:eastAsia="zh-CN" w:bidi="ar-SA"/>
        </w:rPr>
      </w:pPr>
      <w:r>
        <w:rPr>
          <w:rFonts w:hint="eastAsia" w:ascii="Times New Roman" w:hAnsi="Times New Roman" w:eastAsia="黑体" w:cs="Times New Roman"/>
          <w:b w:val="0"/>
          <w:bCs w:val="0"/>
          <w:color w:val="000000"/>
          <w:kern w:val="2"/>
          <w:sz w:val="28"/>
          <w:szCs w:val="28"/>
          <w:lang w:val="en-US" w:eastAsia="zh-CN" w:bidi="ar-SA"/>
        </w:rPr>
        <w:t>二、研究生党建与思想政治教育工作</w:t>
      </w:r>
    </w:p>
    <w:p w14:paraId="457D9736">
      <w:pPr>
        <w:keepNext w:val="0"/>
        <w:keepLines w:val="0"/>
        <w:pageBreakBefore w:val="0"/>
        <w:widowControl w:val="0"/>
        <w:kinsoku/>
        <w:wordWrap/>
        <w:overflowPunct/>
        <w:topLinePunct w:val="0"/>
        <w:autoSpaceDE/>
        <w:autoSpaceDN/>
        <w:bidi w:val="0"/>
        <w:adjustRightInd/>
        <w:snapToGrid/>
        <w:spacing w:line="520" w:lineRule="exact"/>
        <w:ind w:left="0" w:right="0" w:firstLine="560" w:firstLineChars="200"/>
        <w:textAlignment w:val="auto"/>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本学位点注重将企业家精神、科学家精神融入到学生的成长成才</w:t>
      </w:r>
      <w:r>
        <w:rPr>
          <w:rFonts w:hint="eastAsia" w:ascii="Times New Roman" w:hAnsi="Times New Roman" w:cs="Times New Roman"/>
          <w:color w:val="auto"/>
          <w:sz w:val="28"/>
          <w:szCs w:val="28"/>
          <w:lang w:val="en-US" w:eastAsia="zh-CN"/>
        </w:rPr>
        <w:t>过程</w:t>
      </w:r>
      <w:r>
        <w:rPr>
          <w:rFonts w:hint="eastAsia" w:ascii="Times New Roman" w:hAnsi="Times New Roman" w:eastAsia="仿宋" w:cs="Times New Roman"/>
          <w:color w:val="auto"/>
          <w:sz w:val="28"/>
          <w:szCs w:val="28"/>
          <w:lang w:val="en-US" w:eastAsia="zh-CN"/>
        </w:rPr>
        <w:t>，引导学生形成正确的价值观。将科学家精神融入到学生的成长成才，激发了学生科学意识和爱国热情，以学识能力和人格魅力教育感染学生，在潜移默化中给学生以智慧启迪和精神力量；邀请全国道德模范李国武总经理指导学生课程实践，讲解生态文明和低碳旅游景区的建设经验，培育学生的绿色运营和环境保护的思想，鼓励学生献身旅游高质量发展事业。真正凝聚起“全员育人”的强大合力。构建“三全育人”全员协同机制。组建由“专任教师+行业导师+全国道德模范+院士”构成的育人团队，其中国工程院杨宏院士（载人航天工程空间站系统总设计师）2024年10月到校开展“我们的征途是星辰宇宙”主题讲座，结合“两弹一星”精神讲解科学家精神；培育学生绿色发展理念，年均开展此类思政讲座12场以上，覆盖全部MTA研究生。</w:t>
      </w:r>
    </w:p>
    <w:p w14:paraId="50563683">
      <w:pPr>
        <w:keepNext w:val="0"/>
        <w:keepLines w:val="0"/>
        <w:pageBreakBefore w:val="0"/>
        <w:widowControl w:val="0"/>
        <w:kinsoku/>
        <w:wordWrap/>
        <w:overflowPunct/>
        <w:topLinePunct w:val="0"/>
        <w:autoSpaceDE/>
        <w:autoSpaceDN/>
        <w:bidi w:val="0"/>
        <w:adjustRightInd/>
        <w:snapToGrid/>
        <w:spacing w:line="520" w:lineRule="exact"/>
        <w:ind w:left="0" w:right="0" w:firstLine="560" w:firstLineChars="200"/>
        <w:textAlignment w:val="auto"/>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优化党支部设置，推动功能型党支部建设，党建业务深度融合。在MTA班级、教研室设立2个功能型党支部，开展“对标争先”活动，评选“党员先锋岗”6个、“样板党支部”1个，发挥示范带动作用。组织“青年马克思主义者培养工程”，通过读书会、微党课等形式，深化理论学习，50%的学生成为入党积极分子，4名学生加入中国共产党。建立“辅导员-心理教师-家长”联动机制，关注学生心理健康，预防极端事件。推行“阳光服务”平台，公开党务、校务信息，接受师生监督，增强工作透明度。思政与心理健康协同保障。院党委副书记聂晖兼任MTA辅导员，2024年获评湖南省研究生思想政治教育先进个人。秦党红老师和石通辉老师分别获得湖南省研究生思想政治教育研究与实践优秀论文一等奖和优秀案例一等奖。</w:t>
      </w:r>
    </w:p>
    <w:p w14:paraId="41C5E55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outlineLvl w:val="0"/>
        <w:rPr>
          <w:rFonts w:hint="eastAsia" w:ascii="Times New Roman" w:hAnsi="Times New Roman" w:eastAsia="黑体" w:cs="Times New Roman"/>
          <w:b w:val="0"/>
          <w:bCs w:val="0"/>
          <w:color w:val="000000"/>
          <w:kern w:val="2"/>
          <w:sz w:val="28"/>
          <w:szCs w:val="28"/>
          <w:lang w:val="en-US" w:eastAsia="zh-CN" w:bidi="ar-SA"/>
        </w:rPr>
      </w:pPr>
      <w:r>
        <w:rPr>
          <w:rFonts w:hint="eastAsia" w:ascii="Times New Roman" w:hAnsi="Times New Roman" w:eastAsia="黑体" w:cs="Times New Roman"/>
          <w:b w:val="0"/>
          <w:bCs w:val="0"/>
          <w:color w:val="000000"/>
          <w:kern w:val="2"/>
          <w:sz w:val="28"/>
          <w:szCs w:val="28"/>
          <w:lang w:val="en-US" w:eastAsia="zh-CN" w:bidi="ar-SA"/>
        </w:rPr>
        <w:t>三、研究生培养相关制度及执行情况</w:t>
      </w:r>
    </w:p>
    <w:p w14:paraId="5EF47753">
      <w:pPr>
        <w:pStyle w:val="2"/>
        <w:spacing w:before="0" w:after="0" w:line="520" w:lineRule="exact"/>
        <w:ind w:firstLine="560" w:firstLineChars="200"/>
        <w:rPr>
          <w:rFonts w:hint="eastAsia" w:ascii="Times New Roman" w:hAnsi="Times New Roman" w:eastAsia="楷体" w:cs="Times New Roman"/>
          <w:b w:val="0"/>
          <w:bCs w:val="0"/>
          <w:color w:val="000000"/>
          <w:kern w:val="2"/>
          <w:sz w:val="28"/>
          <w:szCs w:val="28"/>
          <w:lang w:val="en-US" w:eastAsia="zh-CN" w:bidi="ar-SA"/>
        </w:rPr>
      </w:pPr>
      <w:r>
        <w:rPr>
          <w:rFonts w:hint="eastAsia" w:ascii="Times New Roman" w:hAnsi="Times New Roman" w:eastAsia="楷体" w:cs="Times New Roman"/>
          <w:b w:val="0"/>
          <w:bCs w:val="0"/>
          <w:color w:val="000000"/>
          <w:kern w:val="2"/>
          <w:sz w:val="28"/>
          <w:szCs w:val="28"/>
          <w:lang w:val="en-US" w:eastAsia="zh-CN" w:bidi="ar-SA"/>
        </w:rPr>
        <w:t>（一）课程建设与教学实施情况</w:t>
      </w:r>
    </w:p>
    <w:p w14:paraId="34C4277E">
      <w:pPr>
        <w:keepNext w:val="0"/>
        <w:keepLines w:val="0"/>
        <w:pageBreakBefore w:val="0"/>
        <w:widowControl w:val="0"/>
        <w:kinsoku/>
        <w:wordWrap/>
        <w:overflowPunct/>
        <w:topLinePunct w:val="0"/>
        <w:autoSpaceDE/>
        <w:autoSpaceDN/>
        <w:bidi w:val="0"/>
        <w:adjustRightInd/>
        <w:snapToGrid/>
        <w:spacing w:line="520" w:lineRule="exact"/>
        <w:ind w:left="0" w:right="0" w:firstLine="560" w:firstLineChars="200"/>
        <w:textAlignment w:val="auto"/>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秉持“质量第一”的办学理念，确保MTA项目的教学质量，高度重视MTA核心课程的建设，选派最好的教师讲授旅游研究前沿与方法、旅游目的地开发与管理、旅游规划与战略管理、旅游产业经济分析、旅游营销、旅游投资与财务管理等核心课程。严格执行《湖南工商大学研究生任课教师工作规范》《湖南工商大学研究生课堂教学管理规定》等规章制度，对MTA任课教师的任职资格、工作职责、教学大纲编写、教材选用、案例教学、考核方式等提出具体要求，以规范MTA课程的教学。</w:t>
      </w:r>
    </w:p>
    <w:p w14:paraId="06C53B93">
      <w:pPr>
        <w:keepNext w:val="0"/>
        <w:keepLines w:val="0"/>
        <w:pageBreakBefore w:val="0"/>
        <w:widowControl w:val="0"/>
        <w:kinsoku/>
        <w:wordWrap/>
        <w:overflowPunct/>
        <w:topLinePunct w:val="0"/>
        <w:autoSpaceDE/>
        <w:autoSpaceDN/>
        <w:bidi w:val="0"/>
        <w:adjustRightInd/>
        <w:snapToGrid/>
        <w:spacing w:line="520" w:lineRule="exact"/>
        <w:ind w:left="0" w:right="0" w:firstLine="560" w:firstLineChars="200"/>
        <w:textAlignment w:val="auto"/>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加强研究生课堂教学督导，制定学院领导班子听课制度，推动研究生课堂教学质量提升。组织召开了MTA教学座谈会，通过与任课教师和MTA学生间的全面沟通和交流，总结教学中的经验、心得，及时发现存在的问题，并有针对性的采取改进措施。从教学效果评估的情况看，绝大多数教师备课、授课认真，能够</w:t>
      </w:r>
      <w:r>
        <w:rPr>
          <w:rFonts w:hint="eastAsia" w:ascii="Times New Roman" w:hAnsi="Times New Roman" w:cs="Times New Roman"/>
          <w:color w:val="auto"/>
          <w:sz w:val="28"/>
          <w:szCs w:val="28"/>
          <w:lang w:val="en-US" w:eastAsia="zh-CN"/>
        </w:rPr>
        <w:t>取</w:t>
      </w:r>
      <w:r>
        <w:rPr>
          <w:rFonts w:hint="eastAsia" w:ascii="Times New Roman" w:hAnsi="Times New Roman" w:eastAsia="仿宋" w:cs="Times New Roman"/>
          <w:color w:val="auto"/>
          <w:sz w:val="28"/>
          <w:szCs w:val="28"/>
          <w:lang w:val="en-US" w:eastAsia="zh-CN"/>
        </w:rPr>
        <w:t>得学生的认可，课程网上评教平均得分率达到99.07。同时，学生的学习态度端正、积极，在各方的配合和努力下，教学秩序保持着良好运行。</w:t>
      </w:r>
    </w:p>
    <w:p w14:paraId="4D549C80">
      <w:pPr>
        <w:pStyle w:val="2"/>
        <w:spacing w:before="0" w:after="0" w:line="520" w:lineRule="exact"/>
        <w:ind w:firstLine="560" w:firstLineChars="200"/>
        <w:rPr>
          <w:rFonts w:hint="eastAsia" w:ascii="Times New Roman" w:hAnsi="Times New Roman" w:eastAsia="楷体" w:cs="Times New Roman"/>
          <w:b w:val="0"/>
          <w:bCs w:val="0"/>
          <w:color w:val="000000"/>
          <w:kern w:val="2"/>
          <w:sz w:val="28"/>
          <w:szCs w:val="28"/>
          <w:lang w:val="en-US" w:eastAsia="zh-CN" w:bidi="ar-SA"/>
        </w:rPr>
      </w:pPr>
      <w:r>
        <w:rPr>
          <w:rFonts w:hint="eastAsia" w:ascii="Times New Roman" w:hAnsi="Times New Roman" w:eastAsia="楷体" w:cs="Times New Roman"/>
          <w:b w:val="0"/>
          <w:bCs w:val="0"/>
          <w:color w:val="000000"/>
          <w:kern w:val="2"/>
          <w:sz w:val="28"/>
          <w:szCs w:val="28"/>
          <w:lang w:val="en-US" w:eastAsia="zh-CN" w:bidi="ar-SA"/>
        </w:rPr>
        <w:t>（二）实践教学情况</w:t>
      </w:r>
    </w:p>
    <w:p w14:paraId="134B48BC">
      <w:pPr>
        <w:keepNext w:val="0"/>
        <w:keepLines w:val="0"/>
        <w:pageBreakBefore w:val="0"/>
        <w:widowControl w:val="0"/>
        <w:kinsoku/>
        <w:wordWrap/>
        <w:overflowPunct/>
        <w:topLinePunct w:val="0"/>
        <w:autoSpaceDE/>
        <w:autoSpaceDN/>
        <w:bidi w:val="0"/>
        <w:adjustRightInd/>
        <w:snapToGrid/>
        <w:spacing w:line="520" w:lineRule="exact"/>
        <w:ind w:left="0" w:right="0" w:firstLine="560" w:firstLineChars="200"/>
        <w:textAlignment w:val="auto"/>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突出MTA教学特色，积极开拓“流动课堂”教学，做到研学结合，知行合一。《旅游营销》《旅游目的地管理与开发》《旅游产业经济分析》《旅游规划与战略管理》《旅游规划与战略管理》课程由任课老师带队深入企业、高校、产业基地等开展调研，使理论与实践相结合，深化对课堂知识的理解，深受学生好评。通过积极开展“流动课堂”，开拓了学生视野，提高了MTA研究生对旅游管理理论与实践相融合重要性的认识，加强知识点的深度与外部延展，全面提升教学水平，深受学生好评。</w:t>
      </w:r>
    </w:p>
    <w:p w14:paraId="628A4AE6">
      <w:pPr>
        <w:keepNext w:val="0"/>
        <w:keepLines w:val="0"/>
        <w:pageBreakBefore w:val="0"/>
        <w:widowControl w:val="0"/>
        <w:kinsoku/>
        <w:wordWrap/>
        <w:overflowPunct/>
        <w:topLinePunct w:val="0"/>
        <w:autoSpaceDE/>
        <w:autoSpaceDN/>
        <w:bidi w:val="0"/>
        <w:adjustRightInd/>
        <w:snapToGrid/>
        <w:spacing w:line="520" w:lineRule="exact"/>
        <w:ind w:left="0" w:right="0" w:firstLine="560" w:firstLineChars="200"/>
        <w:textAlignment w:val="auto"/>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加强MTA教育培养与行业需求紧密结合，在校外文化旅游部门、企业聘请经验丰富、有一定学养的领导干部、企业家作为合作导师，聘请湖南省文化和旅游厅肖自裕二级巡视员、湖南省旅游协会陈伏姣秘书长作为校外兼职导师，并以合作导师为“桥梁”，建立“政校”“企校”合作平台，建设具有特色的实践教学基地。</w:t>
      </w:r>
    </w:p>
    <w:p w14:paraId="2C28D4D1">
      <w:pPr>
        <w:pStyle w:val="2"/>
        <w:spacing w:before="0" w:after="0" w:line="520" w:lineRule="exact"/>
        <w:ind w:firstLine="560" w:firstLineChars="200"/>
        <w:rPr>
          <w:rFonts w:hint="eastAsia" w:ascii="Times New Roman" w:hAnsi="Times New Roman" w:eastAsia="楷体" w:cs="Times New Roman"/>
          <w:b w:val="0"/>
          <w:bCs w:val="0"/>
          <w:color w:val="000000"/>
          <w:kern w:val="2"/>
          <w:sz w:val="28"/>
          <w:szCs w:val="28"/>
          <w:lang w:val="en-US" w:eastAsia="zh-CN" w:bidi="ar-SA"/>
        </w:rPr>
      </w:pPr>
      <w:r>
        <w:rPr>
          <w:rFonts w:hint="eastAsia" w:ascii="Times New Roman" w:hAnsi="Times New Roman" w:eastAsia="楷体" w:cs="Times New Roman"/>
          <w:b w:val="0"/>
          <w:bCs w:val="0"/>
          <w:color w:val="000000"/>
          <w:kern w:val="2"/>
          <w:sz w:val="28"/>
          <w:szCs w:val="28"/>
          <w:lang w:val="en-US" w:eastAsia="zh-CN" w:bidi="ar-SA"/>
        </w:rPr>
        <w:t>（三）研究生奖助情况</w:t>
      </w:r>
    </w:p>
    <w:p w14:paraId="2C3B7280">
      <w:pPr>
        <w:keepNext w:val="0"/>
        <w:keepLines w:val="0"/>
        <w:pageBreakBefore w:val="0"/>
        <w:widowControl w:val="0"/>
        <w:kinsoku/>
        <w:wordWrap/>
        <w:overflowPunct/>
        <w:topLinePunct w:val="0"/>
        <w:autoSpaceDE/>
        <w:autoSpaceDN/>
        <w:bidi w:val="0"/>
        <w:adjustRightInd/>
        <w:snapToGrid/>
        <w:spacing w:line="520" w:lineRule="exact"/>
        <w:ind w:left="0" w:right="0" w:firstLine="560" w:firstLineChars="200"/>
        <w:textAlignment w:val="auto"/>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本学位点具有完备的研究生奖助体系，奖助体系涵盖研究生奖学金、科研奖励计划、国家助学金、“三助一辅”、国家助学贷款、特殊困难补助与入学“绿色通道”等六部分。2024年，9位同学获得国家研究生助学金，5位同学获得“三助一辅”补贴，共计4.62万元，资助学生人数覆盖面达到90%。</w:t>
      </w:r>
    </w:p>
    <w:p w14:paraId="111850DF">
      <w:pPr>
        <w:pStyle w:val="2"/>
        <w:spacing w:before="0" w:after="0" w:line="520" w:lineRule="exact"/>
        <w:ind w:firstLine="560" w:firstLineChars="200"/>
        <w:rPr>
          <w:rFonts w:hint="eastAsia" w:ascii="Times New Roman" w:hAnsi="Times New Roman" w:eastAsia="楷体" w:cs="Times New Roman"/>
          <w:b w:val="0"/>
          <w:bCs w:val="0"/>
          <w:color w:val="000000"/>
          <w:kern w:val="2"/>
          <w:sz w:val="28"/>
          <w:szCs w:val="28"/>
          <w:lang w:val="en-US" w:eastAsia="zh-CN" w:bidi="ar-SA"/>
        </w:rPr>
      </w:pPr>
      <w:r>
        <w:rPr>
          <w:rFonts w:hint="eastAsia" w:ascii="Times New Roman" w:hAnsi="Times New Roman" w:eastAsia="楷体" w:cs="Times New Roman"/>
          <w:b w:val="0"/>
          <w:bCs w:val="0"/>
          <w:color w:val="000000"/>
          <w:kern w:val="2"/>
          <w:sz w:val="28"/>
          <w:szCs w:val="28"/>
          <w:lang w:val="en-US" w:eastAsia="zh-CN" w:bidi="ar-SA"/>
        </w:rPr>
        <w:t>（四）科研立项及赛事获奖</w:t>
      </w:r>
    </w:p>
    <w:p w14:paraId="4C08C877">
      <w:pPr>
        <w:keepNext w:val="0"/>
        <w:keepLines w:val="0"/>
        <w:pageBreakBefore w:val="0"/>
        <w:widowControl w:val="0"/>
        <w:kinsoku/>
        <w:wordWrap/>
        <w:overflowPunct/>
        <w:topLinePunct w:val="0"/>
        <w:autoSpaceDE/>
        <w:autoSpaceDN/>
        <w:bidi w:val="0"/>
        <w:adjustRightInd/>
        <w:snapToGrid/>
        <w:spacing w:line="520" w:lineRule="exact"/>
        <w:ind w:left="0" w:right="0" w:firstLine="562" w:firstLineChars="200"/>
        <w:textAlignment w:val="auto"/>
        <w:rPr>
          <w:rFonts w:hint="eastAsia" w:ascii="Times New Roman" w:hAnsi="Times New Roman" w:eastAsia="仿宋" w:cs="Times New Roman"/>
          <w:color w:val="auto"/>
          <w:sz w:val="28"/>
          <w:szCs w:val="28"/>
        </w:rPr>
      </w:pPr>
      <w:r>
        <w:rPr>
          <w:rFonts w:hint="eastAsia" w:ascii="Times New Roman" w:hAnsi="Times New Roman" w:eastAsia="仿宋" w:cs="Times New Roman"/>
          <w:b/>
          <w:bCs/>
          <w:color w:val="auto"/>
          <w:sz w:val="28"/>
          <w:szCs w:val="28"/>
          <w:lang w:val="en-US" w:eastAsia="zh-CN"/>
        </w:rPr>
        <w:t>稳步推进研究生教学、科研平台项目建设，导师队伍水平明显提升。</w:t>
      </w:r>
      <w:r>
        <w:rPr>
          <w:rFonts w:hint="eastAsia" w:ascii="Times New Roman" w:hAnsi="Times New Roman" w:eastAsia="仿宋" w:cs="Times New Roman"/>
          <w:color w:val="auto"/>
          <w:sz w:val="28"/>
          <w:szCs w:val="28"/>
          <w:lang w:val="en-US" w:eastAsia="zh-CN"/>
        </w:rPr>
        <w:t>增加省级平台“湖南省宜居宜业和美乡村社科普及基地”。教学团队在教学、科研项目方面取得长足进步。麻学锋教授主持国家自然科学基金项目《武陵山区旅游城镇化与居民幸福水平的时空演化及适配机制研究》（2022-2025），调研片区12个县，形成的政策建议获湖南省乡村振兴局采纳；何天祥教授等十余名师生参与《湘乡市“十五五”文化旅游体育发展规划》《宁乡市黄材镇文旅产业发展战略规划（2023-2035）》等29项地方规划；组织师生开展10余个和美乡村建设规划，编辑出版《湖南美丽乡村》第4-5期。</w:t>
      </w:r>
    </w:p>
    <w:p w14:paraId="0428A7FA">
      <w:pPr>
        <w:keepNext w:val="0"/>
        <w:keepLines w:val="0"/>
        <w:pageBreakBefore w:val="0"/>
        <w:widowControl w:val="0"/>
        <w:kinsoku/>
        <w:wordWrap/>
        <w:overflowPunct/>
        <w:topLinePunct w:val="0"/>
        <w:autoSpaceDE/>
        <w:autoSpaceDN/>
        <w:bidi w:val="0"/>
        <w:adjustRightInd/>
        <w:snapToGrid/>
        <w:spacing w:line="520" w:lineRule="exact"/>
        <w:ind w:left="0" w:right="0" w:firstLine="560" w:firstLineChars="200"/>
        <w:textAlignment w:val="auto"/>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组织湖南省学位与研究生教学改革研究项目申报，何学欢老师成功立项，为全校唯一课程思政立项项目，使学院教学质量工作项目位于全校第二。何天祥教授团队《高级区域经济学》成功获批省级精品示范课程，何学欢教授申报的《常德毛里湖的绿色旅游发展之路》项目被推荐为教育部学位与研究生教育发展中心2024年度主题案例征集项目。</w:t>
      </w:r>
    </w:p>
    <w:p w14:paraId="589B450A">
      <w:pPr>
        <w:keepNext w:val="0"/>
        <w:keepLines w:val="0"/>
        <w:pageBreakBefore w:val="0"/>
        <w:widowControl w:val="0"/>
        <w:kinsoku/>
        <w:wordWrap/>
        <w:overflowPunct/>
        <w:topLinePunct w:val="0"/>
        <w:autoSpaceDE/>
        <w:autoSpaceDN/>
        <w:bidi w:val="0"/>
        <w:adjustRightInd/>
        <w:snapToGrid/>
        <w:spacing w:line="520" w:lineRule="exact"/>
        <w:ind w:left="0" w:right="0" w:firstLine="560" w:firstLineChars="200"/>
        <w:textAlignment w:val="auto"/>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开展了校级研究生科教融合与产教融合课程的申报与评审工作，刘长生、陈慧灵二位老师成功立项。唐湘辉、何学欢二位老师成功申报校级研究生教学优秀案例。何天祥教授团队立项2024年度湖南省文化和旅游厅资助项目“文旅元宇宙平台的关键技术研发”，资助金额50万开发的湘商博物馆、杜甫江阁虚拟游览系统，服务游客超50万人次。学科骨干成员何天祥和麻学锋两位教授荣升为二级教授。</w:t>
      </w:r>
    </w:p>
    <w:p w14:paraId="6FB9D914">
      <w:pPr>
        <w:keepNext w:val="0"/>
        <w:keepLines w:val="0"/>
        <w:pageBreakBefore w:val="0"/>
        <w:widowControl w:val="0"/>
        <w:kinsoku/>
        <w:wordWrap/>
        <w:overflowPunct/>
        <w:topLinePunct w:val="0"/>
        <w:autoSpaceDE/>
        <w:autoSpaceDN/>
        <w:bidi w:val="0"/>
        <w:adjustRightInd/>
        <w:snapToGrid/>
        <w:spacing w:line="520" w:lineRule="exact"/>
        <w:ind w:left="0" w:right="0" w:firstLine="560" w:firstLineChars="200"/>
        <w:textAlignment w:val="auto"/>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学生创新成果丰富，社会认可度高。鼓励研究生参与科研与竞赛，廖月映在《自然资源学报》发表《乡村旅游促进和美乡村建设的机制研究》，谢小静在《经济地理》发表《文旅融合提升民族地区民生福祉的路径》，主持省级研究生创新项目；何文获2024年湖南省第七届高校公共管理案例大赛二等奖，王瑞雪论文获湘潭大学“新质生产力与旅游业高质量发展”研究生创新论坛优秀论文。</w:t>
      </w:r>
    </w:p>
    <w:p w14:paraId="0114401A">
      <w:pPr>
        <w:pStyle w:val="2"/>
        <w:spacing w:before="0" w:after="0" w:line="520" w:lineRule="exact"/>
        <w:ind w:firstLine="560" w:firstLineChars="200"/>
        <w:rPr>
          <w:rFonts w:hint="eastAsia" w:ascii="Times New Roman" w:hAnsi="Times New Roman" w:eastAsia="楷体" w:cs="Times New Roman"/>
          <w:b w:val="0"/>
          <w:bCs w:val="0"/>
          <w:color w:val="000000"/>
          <w:kern w:val="2"/>
          <w:sz w:val="28"/>
          <w:szCs w:val="28"/>
          <w:lang w:val="en-US" w:eastAsia="zh-CN" w:bidi="ar-SA"/>
        </w:rPr>
      </w:pPr>
      <w:r>
        <w:rPr>
          <w:rFonts w:hint="eastAsia" w:ascii="Times New Roman" w:hAnsi="Times New Roman" w:eastAsia="楷体" w:cs="Times New Roman"/>
          <w:b w:val="0"/>
          <w:bCs w:val="0"/>
          <w:color w:val="000000"/>
          <w:kern w:val="2"/>
          <w:sz w:val="28"/>
          <w:szCs w:val="28"/>
          <w:lang w:val="en-US" w:eastAsia="zh-CN" w:bidi="ar-SA"/>
        </w:rPr>
        <w:t>（五）导师选拔培训情况及师德师风建设</w:t>
      </w:r>
    </w:p>
    <w:p w14:paraId="11E44024">
      <w:pPr>
        <w:keepNext w:val="0"/>
        <w:keepLines w:val="0"/>
        <w:pageBreakBefore w:val="0"/>
        <w:widowControl w:val="0"/>
        <w:kinsoku/>
        <w:wordWrap/>
        <w:overflowPunct/>
        <w:topLinePunct w:val="0"/>
        <w:autoSpaceDE/>
        <w:autoSpaceDN/>
        <w:bidi w:val="0"/>
        <w:adjustRightInd/>
        <w:snapToGrid/>
        <w:spacing w:line="520" w:lineRule="exact"/>
        <w:ind w:left="0" w:right="0" w:firstLine="560" w:firstLineChars="200"/>
        <w:textAlignment w:val="auto"/>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无论对教学的服务与管理，还是对研究生的服务与管理，始终坚持“规范化与人性化”相结合的原则，认真落实教育部、学校和研究生院出台的有关专业学位教育若干规定：《</w:t>
      </w:r>
      <w:r>
        <w:rPr>
          <w:rFonts w:hint="eastAsia" w:ascii="Times New Roman" w:hAnsi="Times New Roman" w:cs="Times New Roman"/>
          <w:color w:val="auto"/>
          <w:sz w:val="28"/>
          <w:szCs w:val="28"/>
          <w:lang w:val="en-US" w:eastAsia="zh-CN"/>
        </w:rPr>
        <w:t>研究</w:t>
      </w:r>
      <w:r>
        <w:rPr>
          <w:rFonts w:hint="eastAsia" w:ascii="Times New Roman" w:hAnsi="Times New Roman" w:eastAsia="仿宋" w:cs="Times New Roman"/>
          <w:color w:val="auto"/>
          <w:sz w:val="28"/>
          <w:szCs w:val="28"/>
          <w:lang w:val="en-US" w:eastAsia="zh-CN"/>
        </w:rPr>
        <w:t>生导师指导行为准则》和《湖南工商大学硕士研究生指导教师遴选办法》《全面落实研究生导师立德树人职责实施细则》《研究生导师职责规范》中关于导师在指导学生</w:t>
      </w:r>
      <w:r>
        <w:rPr>
          <w:rFonts w:hint="eastAsia" w:ascii="Times New Roman" w:hAnsi="Times New Roman" w:cs="Times New Roman"/>
          <w:color w:val="auto"/>
          <w:sz w:val="28"/>
          <w:szCs w:val="28"/>
          <w:lang w:val="en-US" w:eastAsia="zh-CN"/>
        </w:rPr>
        <w:t>中</w:t>
      </w:r>
      <w:r>
        <w:rPr>
          <w:rFonts w:hint="eastAsia" w:ascii="Times New Roman" w:hAnsi="Times New Roman" w:eastAsia="仿宋" w:cs="Times New Roman"/>
          <w:color w:val="auto"/>
          <w:sz w:val="28"/>
          <w:szCs w:val="28"/>
          <w:lang w:val="en-US" w:eastAsia="zh-CN"/>
        </w:rPr>
        <w:t>的思想引领、学术规范、论文写作等方面的第一责任人相关规定。同时，以“四</w:t>
      </w:r>
      <w:r>
        <w:rPr>
          <w:rFonts w:hint="eastAsia" w:cs="Times New Roman"/>
          <w:color w:val="auto"/>
          <w:sz w:val="28"/>
          <w:szCs w:val="28"/>
          <w:lang w:val="en-US" w:eastAsia="zh-CN"/>
        </w:rPr>
        <w:t>有</w:t>
      </w:r>
      <w:r>
        <w:rPr>
          <w:rFonts w:hint="eastAsia" w:ascii="Times New Roman" w:hAnsi="Times New Roman" w:eastAsia="仿宋" w:cs="Times New Roman"/>
          <w:color w:val="auto"/>
          <w:sz w:val="28"/>
          <w:szCs w:val="28"/>
          <w:lang w:val="en-US" w:eastAsia="zh-CN"/>
        </w:rPr>
        <w:t>好老师”为标准，对研究生导师进行全程评价，动态管理，导师责任意识更强，确保每一位研究生都能获得高质量的指导。</w:t>
      </w:r>
    </w:p>
    <w:p w14:paraId="0D8FFDF6">
      <w:pPr>
        <w:keepNext w:val="0"/>
        <w:keepLines w:val="0"/>
        <w:pageBreakBefore w:val="0"/>
        <w:widowControl w:val="0"/>
        <w:kinsoku/>
        <w:wordWrap/>
        <w:overflowPunct/>
        <w:topLinePunct w:val="0"/>
        <w:autoSpaceDE/>
        <w:autoSpaceDN/>
        <w:bidi w:val="0"/>
        <w:adjustRightInd/>
        <w:snapToGrid/>
        <w:spacing w:line="520" w:lineRule="exact"/>
        <w:ind w:left="0" w:right="0" w:firstLine="560" w:firstLineChars="200"/>
        <w:textAlignment w:val="auto"/>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本学位点一直以来将师德师风建设作为第一要务，依据《湖南工商大学教师师德考核实施办法》《湖南工商大学全面落实研究生导师立德树人职责实施细则》，</w:t>
      </w:r>
      <w:r>
        <w:rPr>
          <w:rFonts w:hint="default" w:ascii="Times New Roman" w:hAnsi="Times New Roman" w:eastAsia="仿宋" w:cs="Times New Roman"/>
          <w:color w:val="auto"/>
          <w:sz w:val="28"/>
          <w:szCs w:val="28"/>
          <w:lang w:val="en-US" w:eastAsia="zh-CN"/>
        </w:rPr>
        <w:t>MTA</w:t>
      </w:r>
      <w:r>
        <w:rPr>
          <w:rFonts w:hint="eastAsia" w:ascii="Times New Roman" w:hAnsi="Times New Roman" w:eastAsia="仿宋" w:cs="Times New Roman"/>
          <w:color w:val="auto"/>
          <w:sz w:val="28"/>
          <w:szCs w:val="28"/>
          <w:lang w:val="en-US" w:eastAsia="zh-CN"/>
        </w:rPr>
        <w:t>中心制定《湖南工商大学旅游管理硕士（</w:t>
      </w:r>
      <w:r>
        <w:rPr>
          <w:rFonts w:hint="default" w:ascii="Times New Roman" w:hAnsi="Times New Roman" w:eastAsia="仿宋" w:cs="Times New Roman"/>
          <w:color w:val="auto"/>
          <w:sz w:val="28"/>
          <w:szCs w:val="28"/>
          <w:lang w:val="en-US" w:eastAsia="zh-CN"/>
        </w:rPr>
        <w:t>MTA</w:t>
      </w:r>
      <w:r>
        <w:rPr>
          <w:rFonts w:hint="eastAsia" w:ascii="Times New Roman" w:hAnsi="Times New Roman" w:eastAsia="仿宋" w:cs="Times New Roman"/>
          <w:color w:val="auto"/>
          <w:sz w:val="28"/>
          <w:szCs w:val="28"/>
          <w:lang w:val="en-US" w:eastAsia="zh-CN"/>
        </w:rPr>
        <w:t>）导师师德师风考核办法》，将师德师风作为导师遴选核心条件，从政治理论学习、学术规范、育人成效考核导师，</w:t>
      </w:r>
      <w:r>
        <w:rPr>
          <w:rFonts w:hint="default"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lang w:val="en-US" w:eastAsia="zh-CN"/>
        </w:rPr>
        <w:t>名校内外导师全部考核合格，</w:t>
      </w:r>
      <w:r>
        <w:rPr>
          <w:rFonts w:hint="eastAsia" w:ascii="Times New Roman" w:hAnsi="Times New Roman" w:eastAsia="仿宋" w:cs="Times New Roman"/>
          <w:b/>
          <w:bCs/>
          <w:color w:val="auto"/>
          <w:sz w:val="28"/>
          <w:szCs w:val="28"/>
          <w:lang w:val="en-US" w:eastAsia="zh-CN"/>
        </w:rPr>
        <w:t>何天祥获评“湖南省优秀研究生导师”，何学欢获学校“最美教师”，获学校“记功”奖励。</w:t>
      </w:r>
      <w:r>
        <w:rPr>
          <w:rFonts w:hint="eastAsia" w:ascii="Times New Roman" w:hAnsi="Times New Roman" w:eastAsia="仿宋" w:cs="Times New Roman"/>
          <w:color w:val="auto"/>
          <w:sz w:val="28"/>
          <w:szCs w:val="28"/>
          <w:lang w:val="en-US" w:eastAsia="zh-CN"/>
        </w:rPr>
        <w:t>而且在团队建设过程中，将党建工作与思想政治工作、立德树人、科学研究、学科建设等工作融为一体，通过树典型，如组织申报“师魂映党旗”演讲、教书育人楷模等强化师德建设，另一方面在制度上规定对出现违背“师德师风”的教师，年度考核坚决实行一票否决制以示警诫。截至目前，本学位点未出现师德师风负面问题。</w:t>
      </w:r>
    </w:p>
    <w:p w14:paraId="5178D84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outlineLvl w:val="0"/>
        <w:rPr>
          <w:rFonts w:hint="eastAsia" w:ascii="Times New Roman" w:hAnsi="Times New Roman" w:eastAsia="黑体" w:cs="Times New Roman"/>
          <w:b w:val="0"/>
          <w:bCs w:val="0"/>
          <w:color w:val="000000"/>
          <w:kern w:val="2"/>
          <w:sz w:val="28"/>
          <w:szCs w:val="28"/>
          <w:lang w:val="en-US" w:eastAsia="zh-CN" w:bidi="ar-SA"/>
        </w:rPr>
      </w:pPr>
      <w:r>
        <w:rPr>
          <w:rFonts w:hint="eastAsia" w:ascii="Times New Roman" w:hAnsi="Times New Roman" w:eastAsia="黑体" w:cs="Times New Roman"/>
          <w:b w:val="0"/>
          <w:bCs w:val="0"/>
          <w:color w:val="000000"/>
          <w:kern w:val="2"/>
          <w:sz w:val="28"/>
          <w:szCs w:val="28"/>
          <w:lang w:val="en-US" w:eastAsia="zh-CN" w:bidi="ar-SA"/>
        </w:rPr>
        <w:t>四、研究生教育改革情况</w:t>
      </w:r>
    </w:p>
    <w:p w14:paraId="398E1F7B">
      <w:pPr>
        <w:pStyle w:val="2"/>
        <w:spacing w:before="0" w:after="0" w:line="520" w:lineRule="exact"/>
        <w:ind w:firstLine="560" w:firstLineChars="200"/>
        <w:rPr>
          <w:rFonts w:hint="eastAsia" w:ascii="Times New Roman" w:hAnsi="Times New Roman" w:eastAsia="楷体" w:cs="Times New Roman"/>
          <w:b w:val="0"/>
          <w:bCs w:val="0"/>
          <w:color w:val="000000"/>
          <w:kern w:val="2"/>
          <w:sz w:val="28"/>
          <w:szCs w:val="28"/>
          <w:lang w:val="en-US" w:eastAsia="zh-CN" w:bidi="ar-SA"/>
        </w:rPr>
      </w:pPr>
      <w:r>
        <w:rPr>
          <w:rFonts w:hint="eastAsia" w:ascii="Times New Roman" w:hAnsi="Times New Roman" w:eastAsia="楷体" w:cs="Times New Roman"/>
          <w:b w:val="0"/>
          <w:bCs w:val="0"/>
          <w:color w:val="000000"/>
          <w:kern w:val="2"/>
          <w:sz w:val="28"/>
          <w:szCs w:val="28"/>
          <w:lang w:val="en-US" w:eastAsia="zh-CN" w:bidi="ar-SA"/>
        </w:rPr>
        <w:t>（一）修订培养方案</w:t>
      </w:r>
    </w:p>
    <w:p w14:paraId="54862832">
      <w:pPr>
        <w:keepNext w:val="0"/>
        <w:keepLines w:val="0"/>
        <w:pageBreakBefore w:val="0"/>
        <w:widowControl w:val="0"/>
        <w:kinsoku/>
        <w:wordWrap/>
        <w:overflowPunct/>
        <w:topLinePunct w:val="0"/>
        <w:autoSpaceDE/>
        <w:autoSpaceDN/>
        <w:bidi w:val="0"/>
        <w:adjustRightInd/>
        <w:snapToGrid/>
        <w:spacing w:line="520" w:lineRule="exact"/>
        <w:ind w:left="0" w:right="0" w:firstLine="560" w:firstLineChars="200"/>
        <w:textAlignment w:val="auto"/>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结合学校旅游学科基础条件和地方发展需求，根据全国旅游管理专业学位研究生教育指导委员会（以下称“MTA教指委”）制订的《MTA指导性培养方案》开设《旅游产业经济分析》《旅游目的地开发与管理》等核心课程，并在此基础上结合培养特色增加《智慧旅游开发与管理》《旅游大数据分析》等课程，课程共计36学分，达到《MTA指导性培养方案》中“实行学分制，总学分不少于32学分”的要求，并开设《论文写作与学术规范》《旅游新业态管理》等课程，体现学术性与应用性的有机结合，本学位点立足立德树人根本任务，参照《研究生教育学科专业简介及其学位基本要求</w:t>
      </w:r>
      <w:r>
        <w:rPr>
          <w:rFonts w:hint="eastAsia" w:ascii="Times New Roman" w:hAnsi="Times New Roman" w:cs="Times New Roman"/>
          <w:color w:val="auto"/>
          <w:sz w:val="28"/>
          <w:szCs w:val="28"/>
          <w:lang w:val="en-US" w:eastAsia="zh-CN"/>
        </w:rPr>
        <w:t>（</w:t>
      </w:r>
      <w:r>
        <w:rPr>
          <w:rFonts w:hint="eastAsia" w:ascii="Times New Roman" w:hAnsi="Times New Roman" w:eastAsia="仿宋" w:cs="Times New Roman"/>
          <w:color w:val="auto"/>
          <w:sz w:val="28"/>
          <w:szCs w:val="28"/>
          <w:lang w:val="en-US" w:eastAsia="zh-CN"/>
        </w:rPr>
        <w:t>试行版</w:t>
      </w:r>
      <w:r>
        <w:rPr>
          <w:rFonts w:hint="eastAsia" w:ascii="Times New Roman" w:hAnsi="Times New Roman" w:cs="Times New Roman"/>
          <w:color w:val="auto"/>
          <w:sz w:val="28"/>
          <w:szCs w:val="28"/>
          <w:lang w:val="en-US" w:eastAsia="zh-CN"/>
        </w:rPr>
        <w:t>）</w:t>
      </w:r>
      <w:r>
        <w:rPr>
          <w:rFonts w:hint="eastAsia" w:ascii="Times New Roman" w:hAnsi="Times New Roman" w:eastAsia="仿宋" w:cs="Times New Roman"/>
          <w:color w:val="auto"/>
          <w:sz w:val="28"/>
          <w:szCs w:val="28"/>
          <w:lang w:val="en-US" w:eastAsia="zh-CN"/>
        </w:rPr>
        <w:t>》，积极响应国家将旅游业建设成为战略性支柱产业的要求，适应旅游业市场化、国际化的发展趋势，围绕湖湘文化、数智文旅、绿色旅游等领域布局了</w:t>
      </w:r>
      <w:r>
        <w:rPr>
          <w:rFonts w:hint="eastAsia" w:ascii="Times New Roman" w:hAnsi="Times New Roman" w:eastAsia="仿宋" w:cs="Times New Roman"/>
          <w:b/>
          <w:bCs/>
          <w:color w:val="auto"/>
          <w:sz w:val="28"/>
          <w:szCs w:val="28"/>
          <w:lang w:val="en-US" w:eastAsia="zh-CN"/>
        </w:rPr>
        <w:t>旅游规划与资源开发、智慧旅游与创新发展、文旅融合与绿色发展</w:t>
      </w:r>
      <w:r>
        <w:rPr>
          <w:rFonts w:hint="eastAsia" w:ascii="Times New Roman" w:hAnsi="Times New Roman" w:eastAsia="仿宋" w:cs="Times New Roman"/>
          <w:color w:val="auto"/>
          <w:sz w:val="28"/>
          <w:szCs w:val="28"/>
          <w:lang w:val="en-US" w:eastAsia="zh-CN"/>
        </w:rPr>
        <w:t>三个特色鲜明的研究方向，构建了从宏观战略到微观运营、多层级协同的学科体系。</w:t>
      </w:r>
    </w:p>
    <w:p w14:paraId="1607E770">
      <w:pPr>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华文仿宋" w:hAnsi="华文仿宋" w:eastAsia="华文仿宋" w:cs="华文仿宋"/>
          <w:b/>
          <w:bCs/>
          <w:color w:val="000000"/>
          <w:sz w:val="24"/>
          <w:szCs w:val="24"/>
        </w:rPr>
      </w:pPr>
      <w:r>
        <w:rPr>
          <w:rFonts w:hint="eastAsia" w:ascii="华文仿宋" w:hAnsi="华文仿宋" w:eastAsia="华文仿宋" w:cs="华文仿宋"/>
          <w:b/>
          <w:bCs/>
          <w:color w:val="000000" w:themeColor="text1"/>
          <w14:textFill>
            <w14:solidFill>
              <w14:schemeClr w14:val="tx1"/>
            </w14:solidFill>
          </w14:textFill>
        </w:rPr>
        <w:t>旅游管理硕士专业学位研究生教学基本环节设置</w:t>
      </w:r>
    </w:p>
    <w:tbl>
      <w:tblPr>
        <w:tblStyle w:val="10"/>
        <w:tblW w:w="10039" w:type="dxa"/>
        <w:jc w:val="center"/>
        <w:tblLayout w:type="fixed"/>
        <w:tblCellMar>
          <w:top w:w="0" w:type="dxa"/>
          <w:left w:w="0" w:type="dxa"/>
          <w:bottom w:w="0" w:type="dxa"/>
          <w:right w:w="0" w:type="dxa"/>
        </w:tblCellMar>
      </w:tblPr>
      <w:tblGrid>
        <w:gridCol w:w="526"/>
        <w:gridCol w:w="590"/>
        <w:gridCol w:w="1780"/>
        <w:gridCol w:w="2360"/>
        <w:gridCol w:w="622"/>
        <w:gridCol w:w="540"/>
        <w:gridCol w:w="1076"/>
        <w:gridCol w:w="1702"/>
        <w:gridCol w:w="843"/>
      </w:tblGrid>
      <w:tr w14:paraId="47A64053">
        <w:tblPrEx>
          <w:tblCellMar>
            <w:top w:w="0" w:type="dxa"/>
            <w:left w:w="0" w:type="dxa"/>
            <w:bottom w:w="0" w:type="dxa"/>
            <w:right w:w="0" w:type="dxa"/>
          </w:tblCellMar>
        </w:tblPrEx>
        <w:trPr>
          <w:trHeight w:val="831" w:hRule="atLeast"/>
          <w:jc w:val="center"/>
        </w:trPr>
        <w:tc>
          <w:tcPr>
            <w:tcW w:w="1116" w:type="dxa"/>
            <w:gridSpan w:val="2"/>
            <w:tcBorders>
              <w:top w:val="single" w:color="auto" w:sz="4" w:space="0"/>
              <w:left w:val="single" w:color="auto" w:sz="4" w:space="0"/>
              <w:bottom w:val="single" w:color="auto" w:sz="4" w:space="0"/>
              <w:right w:val="single" w:color="auto" w:sz="4" w:space="0"/>
            </w:tcBorders>
            <w:vAlign w:val="center"/>
          </w:tcPr>
          <w:p w14:paraId="003C759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r>
              <w:rPr>
                <w:rFonts w:ascii="Times New Roman" w:hAnsi="Times New Roman" w:eastAsia="仿宋" w:cs="Times New Roman"/>
                <w:b/>
                <w:bCs/>
                <w:color w:val="000000" w:themeColor="text1"/>
                <w:sz w:val="24"/>
                <w:szCs w:val="24"/>
                <w:lang w:val="zh-CN"/>
                <w14:textFill>
                  <w14:solidFill>
                    <w14:schemeClr w14:val="tx1"/>
                  </w14:solidFill>
                </w14:textFill>
              </w:rPr>
              <w:t>类别</w:t>
            </w:r>
          </w:p>
        </w:tc>
        <w:tc>
          <w:tcPr>
            <w:tcW w:w="1780" w:type="dxa"/>
            <w:tcBorders>
              <w:top w:val="single" w:color="auto" w:sz="4" w:space="0"/>
              <w:left w:val="single" w:color="auto" w:sz="4" w:space="0"/>
              <w:bottom w:val="single" w:color="auto" w:sz="4" w:space="0"/>
              <w:right w:val="single" w:color="auto" w:sz="4" w:space="0"/>
            </w:tcBorders>
            <w:vAlign w:val="center"/>
          </w:tcPr>
          <w:p w14:paraId="2A780BE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r>
              <w:rPr>
                <w:rFonts w:ascii="Times New Roman" w:hAnsi="Times New Roman" w:eastAsia="仿宋" w:cs="Times New Roman"/>
                <w:b/>
                <w:bCs/>
                <w:color w:val="000000" w:themeColor="text1"/>
                <w:sz w:val="24"/>
                <w:szCs w:val="24"/>
                <w:lang w:val="zh-CN"/>
                <w14:textFill>
                  <w14:solidFill>
                    <w14:schemeClr w14:val="tx1"/>
                  </w14:solidFill>
                </w14:textFill>
              </w:rPr>
              <w:t>课程编号</w:t>
            </w:r>
          </w:p>
        </w:tc>
        <w:tc>
          <w:tcPr>
            <w:tcW w:w="2360" w:type="dxa"/>
            <w:tcBorders>
              <w:top w:val="single" w:color="auto" w:sz="4" w:space="0"/>
              <w:left w:val="single" w:color="auto" w:sz="4" w:space="0"/>
              <w:bottom w:val="single" w:color="auto" w:sz="4" w:space="0"/>
              <w:right w:val="single" w:color="auto" w:sz="4" w:space="0"/>
            </w:tcBorders>
            <w:vAlign w:val="center"/>
          </w:tcPr>
          <w:p w14:paraId="5A6C916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r>
              <w:rPr>
                <w:rFonts w:ascii="Times New Roman" w:hAnsi="Times New Roman" w:eastAsia="仿宋" w:cs="Times New Roman"/>
                <w:b/>
                <w:bCs/>
                <w:color w:val="000000" w:themeColor="text1"/>
                <w:sz w:val="24"/>
                <w:szCs w:val="24"/>
                <w:lang w:val="zh-CN"/>
                <w14:textFill>
                  <w14:solidFill>
                    <w14:schemeClr w14:val="tx1"/>
                  </w14:solidFill>
                </w14:textFill>
              </w:rPr>
              <w:t>课程名称</w:t>
            </w:r>
          </w:p>
        </w:tc>
        <w:tc>
          <w:tcPr>
            <w:tcW w:w="622" w:type="dxa"/>
            <w:tcBorders>
              <w:top w:val="single" w:color="auto" w:sz="4" w:space="0"/>
              <w:left w:val="single" w:color="auto" w:sz="4" w:space="0"/>
              <w:bottom w:val="single" w:color="auto" w:sz="4" w:space="0"/>
              <w:right w:val="single" w:color="auto" w:sz="4" w:space="0"/>
            </w:tcBorders>
            <w:vAlign w:val="center"/>
          </w:tcPr>
          <w:p w14:paraId="1212FC6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r>
              <w:rPr>
                <w:rFonts w:hint="eastAsia" w:ascii="Times New Roman" w:hAnsi="Times New Roman" w:eastAsia="仿宋" w:cs="Times New Roman"/>
                <w:b/>
                <w:bCs/>
                <w:color w:val="000000" w:themeColor="text1"/>
                <w:sz w:val="24"/>
                <w:szCs w:val="24"/>
                <w14:textFill>
                  <w14:solidFill>
                    <w14:schemeClr w14:val="tx1"/>
                  </w14:solidFill>
                </w14:textFill>
              </w:rPr>
              <w:t>学时</w:t>
            </w:r>
          </w:p>
        </w:tc>
        <w:tc>
          <w:tcPr>
            <w:tcW w:w="54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7D69C90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bCs/>
                <w:color w:val="000000" w:themeColor="text1"/>
                <w:sz w:val="24"/>
                <w:szCs w:val="24"/>
                <w:lang w:val="zh-CN"/>
                <w14:textFill>
                  <w14:solidFill>
                    <w14:schemeClr w14:val="tx1"/>
                  </w14:solidFill>
                </w14:textFill>
              </w:rPr>
            </w:pPr>
            <w:r>
              <w:rPr>
                <w:rFonts w:hint="eastAsia" w:ascii="Times New Roman" w:hAnsi="Times New Roman" w:eastAsia="仿宋" w:cs="Times New Roman"/>
                <w:b/>
                <w:bCs/>
                <w:color w:val="000000" w:themeColor="text1"/>
                <w:sz w:val="24"/>
                <w:szCs w:val="24"/>
                <w:lang w:val="zh-CN"/>
                <w14:textFill>
                  <w14:solidFill>
                    <w14:schemeClr w14:val="tx1"/>
                  </w14:solidFill>
                </w14:textFill>
              </w:rPr>
              <w:t>学分</w:t>
            </w:r>
          </w:p>
        </w:tc>
        <w:tc>
          <w:tcPr>
            <w:tcW w:w="107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5BF405F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Times New Roman" w:hAnsi="Times New Roman" w:eastAsia="仿宋" w:cs="Times New Roman"/>
                <w:b/>
                <w:bCs/>
                <w:color w:val="000000" w:themeColor="text1"/>
                <w:sz w:val="24"/>
                <w:szCs w:val="24"/>
                <w:lang w:val="zh-CN"/>
                <w14:textFill>
                  <w14:solidFill>
                    <w14:schemeClr w14:val="tx1"/>
                  </w14:solidFill>
                </w14:textFill>
              </w:rPr>
            </w:pPr>
            <w:r>
              <w:rPr>
                <w:rFonts w:ascii="Times New Roman" w:hAnsi="Times New Roman" w:eastAsia="仿宋" w:cs="Times New Roman"/>
                <w:b/>
                <w:bCs/>
                <w:color w:val="000000" w:themeColor="text1"/>
                <w:sz w:val="24"/>
                <w:szCs w:val="24"/>
                <w14:textFill>
                  <w14:solidFill>
                    <w14:schemeClr w14:val="tx1"/>
                  </w14:solidFill>
                </w14:textFill>
              </w:rPr>
              <w:t>开课</w:t>
            </w:r>
            <w:r>
              <w:rPr>
                <w:rFonts w:ascii="Times New Roman" w:hAnsi="Times New Roman" w:eastAsia="仿宋" w:cs="Times New Roman"/>
                <w:b/>
                <w:bCs/>
                <w:color w:val="000000" w:themeColor="text1"/>
                <w:sz w:val="24"/>
                <w:szCs w:val="24"/>
                <w:lang w:val="zh-CN"/>
                <w14:textFill>
                  <w14:solidFill>
                    <w14:schemeClr w14:val="tx1"/>
                  </w14:solidFill>
                </w14:textFill>
              </w:rPr>
              <w:t>学期</w:t>
            </w:r>
          </w:p>
          <w:p w14:paraId="05148BC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Times New Roman" w:hAnsi="Times New Roman" w:eastAsia="仿宋" w:cs="Times New Roman"/>
                <w:b/>
                <w:bCs/>
                <w:color w:val="000000" w:themeColor="text1"/>
                <w:sz w:val="24"/>
                <w:szCs w:val="24"/>
                <w14:textFill>
                  <w14:solidFill>
                    <w14:schemeClr w14:val="tx1"/>
                  </w14:solidFill>
                </w14:textFill>
              </w:rPr>
            </w:pPr>
            <w:r>
              <w:rPr>
                <w:rFonts w:ascii="Times New Roman" w:hAnsi="Times New Roman" w:eastAsia="仿宋" w:cs="Times New Roman"/>
                <w:b/>
                <w:bCs/>
                <w:color w:val="000000" w:themeColor="text1"/>
                <w:sz w:val="24"/>
                <w:szCs w:val="24"/>
                <w:lang w:val="zh-CN"/>
                <w14:textFill>
                  <w14:solidFill>
                    <w14:schemeClr w14:val="tx1"/>
                  </w14:solidFill>
                </w14:textFill>
              </w:rPr>
              <w:t>（</w:t>
            </w:r>
            <w:r>
              <w:rPr>
                <w:rFonts w:ascii="Times New Roman" w:hAnsi="Times New Roman" w:eastAsia="仿宋" w:cs="Times New Roman"/>
                <w:b/>
                <w:bCs/>
                <w:color w:val="000000" w:themeColor="text1"/>
                <w:sz w:val="24"/>
                <w:szCs w:val="24"/>
                <w14:textFill>
                  <w14:solidFill>
                    <w14:schemeClr w14:val="tx1"/>
                  </w14:solidFill>
                </w14:textFill>
              </w:rPr>
              <w:t>春季/</w:t>
            </w:r>
          </w:p>
          <w:p w14:paraId="5E528BB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bCs/>
                <w:color w:val="000000" w:themeColor="text1"/>
                <w:sz w:val="24"/>
                <w:szCs w:val="24"/>
                <w:lang w:val="zh-CN"/>
                <w14:textFill>
                  <w14:solidFill>
                    <w14:schemeClr w14:val="tx1"/>
                  </w14:solidFill>
                </w14:textFill>
              </w:rPr>
            </w:pPr>
            <w:r>
              <w:rPr>
                <w:rFonts w:ascii="Times New Roman" w:hAnsi="Times New Roman" w:eastAsia="仿宋" w:cs="Times New Roman"/>
                <w:b/>
                <w:bCs/>
                <w:color w:val="000000" w:themeColor="text1"/>
                <w:sz w:val="24"/>
                <w:szCs w:val="24"/>
                <w14:textFill>
                  <w14:solidFill>
                    <w14:schemeClr w14:val="tx1"/>
                  </w14:solidFill>
                </w14:textFill>
              </w:rPr>
              <w:t>秋季）</w:t>
            </w:r>
          </w:p>
        </w:tc>
        <w:tc>
          <w:tcPr>
            <w:tcW w:w="1702" w:type="dxa"/>
            <w:tcBorders>
              <w:top w:val="single" w:color="auto" w:sz="4" w:space="0"/>
              <w:left w:val="single" w:color="auto" w:sz="4" w:space="0"/>
              <w:bottom w:val="single" w:color="auto" w:sz="4" w:space="0"/>
              <w:right w:val="single" w:color="auto" w:sz="4" w:space="0"/>
            </w:tcBorders>
            <w:vAlign w:val="center"/>
          </w:tcPr>
          <w:p w14:paraId="1FC74B9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r>
              <w:rPr>
                <w:rFonts w:ascii="Times New Roman" w:hAnsi="Times New Roman" w:eastAsia="仿宋" w:cs="Times New Roman"/>
                <w:b/>
                <w:bCs/>
                <w:color w:val="000000" w:themeColor="text1"/>
                <w:sz w:val="24"/>
                <w:szCs w:val="24"/>
                <w:lang w:val="zh-CN"/>
                <w14:textFill>
                  <w14:solidFill>
                    <w14:schemeClr w14:val="tx1"/>
                  </w14:solidFill>
                </w14:textFill>
              </w:rPr>
              <w:t>开课单位</w:t>
            </w:r>
          </w:p>
        </w:tc>
        <w:tc>
          <w:tcPr>
            <w:tcW w:w="843" w:type="dxa"/>
            <w:tcBorders>
              <w:top w:val="single" w:color="auto" w:sz="4" w:space="0"/>
              <w:left w:val="single" w:color="auto" w:sz="4" w:space="0"/>
              <w:bottom w:val="single" w:color="auto" w:sz="4" w:space="0"/>
              <w:right w:val="single" w:color="auto" w:sz="4" w:space="0"/>
            </w:tcBorders>
            <w:vAlign w:val="center"/>
          </w:tcPr>
          <w:p w14:paraId="3BABC4B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r>
              <w:rPr>
                <w:rFonts w:ascii="Times New Roman" w:hAnsi="Times New Roman" w:eastAsia="仿宋" w:cs="Times New Roman"/>
                <w:b/>
                <w:bCs/>
                <w:color w:val="000000" w:themeColor="text1"/>
                <w:sz w:val="24"/>
                <w:szCs w:val="24"/>
                <w14:textFill>
                  <w14:solidFill>
                    <w14:schemeClr w14:val="tx1"/>
                  </w14:solidFill>
                </w14:textFill>
              </w:rPr>
              <w:t>备注</w:t>
            </w:r>
          </w:p>
        </w:tc>
      </w:tr>
      <w:tr w14:paraId="54B2DB73">
        <w:tblPrEx>
          <w:tblCellMar>
            <w:top w:w="0" w:type="dxa"/>
            <w:left w:w="0" w:type="dxa"/>
            <w:bottom w:w="0" w:type="dxa"/>
            <w:right w:w="0" w:type="dxa"/>
          </w:tblCellMar>
        </w:tblPrEx>
        <w:trPr>
          <w:trHeight w:val="403" w:hRule="atLeast"/>
          <w:jc w:val="center"/>
        </w:trPr>
        <w:tc>
          <w:tcPr>
            <w:tcW w:w="526" w:type="dxa"/>
            <w:vMerge w:val="restart"/>
            <w:tcBorders>
              <w:top w:val="single" w:color="auto" w:sz="4" w:space="0"/>
              <w:left w:val="single" w:color="000000" w:sz="2" w:space="0"/>
              <w:right w:val="single" w:color="000000" w:sz="2" w:space="0"/>
            </w:tcBorders>
            <w:tcMar>
              <w:top w:w="0" w:type="dxa"/>
              <w:left w:w="28" w:type="dxa"/>
              <w:bottom w:w="0" w:type="dxa"/>
              <w:right w:w="28" w:type="dxa"/>
            </w:tcMar>
            <w:vAlign w:val="center"/>
          </w:tcPr>
          <w:p w14:paraId="3269290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t>必</w:t>
            </w:r>
          </w:p>
          <w:p w14:paraId="2A5899B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t>修</w:t>
            </w:r>
          </w:p>
          <w:p w14:paraId="4FFE918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bCs/>
                <w:color w:val="000000" w:themeColor="text1"/>
                <w:sz w:val="24"/>
                <w:szCs w:val="24"/>
                <w:lang w:val="zh-CN"/>
                <w14:textFill>
                  <w14:solidFill>
                    <w14:schemeClr w14:val="tx1"/>
                  </w14:solidFill>
                </w14:textFill>
              </w:rPr>
            </w:pPr>
            <w:r>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t>课</w:t>
            </w:r>
          </w:p>
        </w:tc>
        <w:tc>
          <w:tcPr>
            <w:tcW w:w="590" w:type="dxa"/>
            <w:vMerge w:val="restart"/>
            <w:tcBorders>
              <w:top w:val="single" w:color="auto" w:sz="4" w:space="0"/>
              <w:left w:val="single" w:color="000000" w:sz="2" w:space="0"/>
              <w:right w:val="single" w:color="000000" w:sz="2" w:space="0"/>
            </w:tcBorders>
            <w:tcMar>
              <w:top w:w="0" w:type="dxa"/>
              <w:left w:w="28" w:type="dxa"/>
              <w:bottom w:w="0" w:type="dxa"/>
              <w:right w:w="28" w:type="dxa"/>
            </w:tcMar>
            <w:vAlign w:val="center"/>
          </w:tcPr>
          <w:p w14:paraId="6FFA125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Times New Roman" w:hAnsi="Times New Roman" w:eastAsia="仿宋" w:cs="Times New Roman"/>
                <w:b/>
                <w:bCs/>
                <w:color w:val="000000" w:themeColor="text1"/>
                <w:sz w:val="24"/>
                <w:szCs w:val="24"/>
                <w:lang w:val="zh-CN"/>
                <w14:textFill>
                  <w14:solidFill>
                    <w14:schemeClr w14:val="tx1"/>
                  </w14:solidFill>
                </w14:textFill>
              </w:rPr>
            </w:pPr>
            <w:r>
              <w:rPr>
                <w:rFonts w:ascii="Times New Roman" w:hAnsi="Times New Roman" w:eastAsia="仿宋" w:cs="Times New Roman"/>
                <w:b/>
                <w:bCs/>
                <w:color w:val="000000" w:themeColor="text1"/>
                <w:sz w:val="24"/>
                <w:szCs w:val="24"/>
                <w:lang w:val="zh-CN"/>
                <w14:textFill>
                  <w14:solidFill>
                    <w14:schemeClr w14:val="tx1"/>
                  </w14:solidFill>
                </w14:textFill>
              </w:rPr>
              <w:t>公</w:t>
            </w:r>
          </w:p>
          <w:p w14:paraId="2EA2D3C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Times New Roman" w:hAnsi="Times New Roman" w:eastAsia="仿宋" w:cs="Times New Roman"/>
                <w:b/>
                <w:bCs/>
                <w:color w:val="000000" w:themeColor="text1"/>
                <w:sz w:val="24"/>
                <w:szCs w:val="24"/>
                <w:lang w:val="zh-CN"/>
                <w14:textFill>
                  <w14:solidFill>
                    <w14:schemeClr w14:val="tx1"/>
                  </w14:solidFill>
                </w14:textFill>
              </w:rPr>
            </w:pPr>
            <w:r>
              <w:rPr>
                <w:rFonts w:ascii="Times New Roman" w:hAnsi="Times New Roman" w:eastAsia="仿宋" w:cs="Times New Roman"/>
                <w:b/>
                <w:bCs/>
                <w:color w:val="000000" w:themeColor="text1"/>
                <w:sz w:val="24"/>
                <w:szCs w:val="24"/>
                <w:lang w:val="zh-CN"/>
                <w14:textFill>
                  <w14:solidFill>
                    <w14:schemeClr w14:val="tx1"/>
                  </w14:solidFill>
                </w14:textFill>
              </w:rPr>
              <w:t>共</w:t>
            </w:r>
          </w:p>
          <w:p w14:paraId="0BB0D12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Times New Roman" w:hAnsi="Times New Roman" w:eastAsia="仿宋" w:cs="Times New Roman"/>
                <w:b/>
                <w:bCs/>
                <w:color w:val="000000" w:themeColor="text1"/>
                <w:sz w:val="24"/>
                <w:szCs w:val="24"/>
                <w:lang w:val="zh-CN"/>
                <w14:textFill>
                  <w14:solidFill>
                    <w14:schemeClr w14:val="tx1"/>
                  </w14:solidFill>
                </w14:textFill>
              </w:rPr>
            </w:pPr>
            <w:r>
              <w:rPr>
                <w:rFonts w:ascii="Times New Roman" w:hAnsi="Times New Roman" w:eastAsia="仿宋" w:cs="Times New Roman"/>
                <w:b/>
                <w:bCs/>
                <w:color w:val="000000" w:themeColor="text1"/>
                <w:sz w:val="24"/>
                <w:szCs w:val="24"/>
                <w:lang w:val="zh-CN"/>
                <w14:textFill>
                  <w14:solidFill>
                    <w14:schemeClr w14:val="tx1"/>
                  </w14:solidFill>
                </w14:textFill>
              </w:rPr>
              <w:t>学</w:t>
            </w:r>
          </w:p>
          <w:p w14:paraId="41352D7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Times New Roman" w:hAnsi="Times New Roman" w:eastAsia="仿宋" w:cs="Times New Roman"/>
                <w:b/>
                <w:bCs/>
                <w:color w:val="000000" w:themeColor="text1"/>
                <w:sz w:val="24"/>
                <w:szCs w:val="24"/>
                <w:lang w:val="zh-CN"/>
                <w14:textFill>
                  <w14:solidFill>
                    <w14:schemeClr w14:val="tx1"/>
                  </w14:solidFill>
                </w14:textFill>
              </w:rPr>
            </w:pPr>
            <w:r>
              <w:rPr>
                <w:rFonts w:ascii="Times New Roman" w:hAnsi="Times New Roman" w:eastAsia="仿宋" w:cs="Times New Roman"/>
                <w:b/>
                <w:bCs/>
                <w:color w:val="000000" w:themeColor="text1"/>
                <w:sz w:val="24"/>
                <w:szCs w:val="24"/>
                <w:lang w:val="zh-CN"/>
                <w14:textFill>
                  <w14:solidFill>
                    <w14:schemeClr w14:val="tx1"/>
                  </w14:solidFill>
                </w14:textFill>
              </w:rPr>
              <w:t>位</w:t>
            </w:r>
          </w:p>
          <w:p w14:paraId="5124196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bCs/>
                <w:color w:val="000000" w:themeColor="text1"/>
                <w:sz w:val="24"/>
                <w:szCs w:val="24"/>
                <w:lang w:val="zh-CN"/>
                <w14:textFill>
                  <w14:solidFill>
                    <w14:schemeClr w14:val="tx1"/>
                  </w14:solidFill>
                </w14:textFill>
              </w:rPr>
            </w:pPr>
            <w:r>
              <w:rPr>
                <w:rFonts w:ascii="Times New Roman" w:hAnsi="Times New Roman" w:eastAsia="仿宋" w:cs="Times New Roman"/>
                <w:b/>
                <w:bCs/>
                <w:color w:val="000000" w:themeColor="text1"/>
                <w:sz w:val="24"/>
                <w:szCs w:val="24"/>
                <w:lang w:val="zh-CN"/>
                <w14:textFill>
                  <w14:solidFill>
                    <w14:schemeClr w14:val="tx1"/>
                  </w14:solidFill>
                </w14:textFill>
              </w:rPr>
              <w:t>课</w:t>
            </w:r>
          </w:p>
        </w:tc>
        <w:tc>
          <w:tcPr>
            <w:tcW w:w="1780" w:type="dxa"/>
            <w:tcBorders>
              <w:top w:val="single" w:color="auto" w:sz="4" w:space="0"/>
              <w:left w:val="single" w:color="000000" w:sz="2" w:space="0"/>
              <w:bottom w:val="single" w:color="000000" w:sz="2" w:space="0"/>
              <w:right w:val="single" w:color="auto" w:sz="4" w:space="0"/>
            </w:tcBorders>
            <w:tcMar>
              <w:top w:w="0" w:type="dxa"/>
              <w:left w:w="28" w:type="dxa"/>
              <w:bottom w:w="0" w:type="dxa"/>
              <w:right w:w="28" w:type="dxa"/>
            </w:tcMar>
            <w:vAlign w:val="center"/>
          </w:tcPr>
          <w:p w14:paraId="70EFE3E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r>
              <w:rPr>
                <w:rFonts w:ascii="Times New Roman" w:hAnsi="Times New Roman" w:eastAsia="仿宋" w:cs="Times New Roman"/>
                <w:b w:val="0"/>
                <w:bCs w:val="0"/>
                <w:color w:val="000000" w:themeColor="text1"/>
                <w:sz w:val="24"/>
                <w:szCs w:val="24"/>
                <w:lang w:bidi="ar"/>
                <w14:textFill>
                  <w14:solidFill>
                    <w14:schemeClr w14:val="tx1"/>
                  </w14:solidFill>
                </w14:textFill>
              </w:rPr>
              <w:t>241700002A01</w:t>
            </w:r>
          </w:p>
        </w:tc>
        <w:tc>
          <w:tcPr>
            <w:tcW w:w="236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E07F4E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bidi="ar"/>
                <w14:textFill>
                  <w14:solidFill>
                    <w14:schemeClr w14:val="tx1"/>
                  </w14:solidFill>
                </w14:textFill>
              </w:rPr>
              <w:t>新时代中国特色社会主义理论与实践</w:t>
            </w:r>
          </w:p>
        </w:tc>
        <w:tc>
          <w:tcPr>
            <w:tcW w:w="62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524C35C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r>
              <w:rPr>
                <w:rFonts w:hint="eastAsia" w:ascii="Times New Roman" w:hAnsi="Times New Roman" w:eastAsia="仿宋" w:cs="Times New Roman"/>
                <w:b w:val="0"/>
                <w:bCs w:val="0"/>
                <w:color w:val="000000" w:themeColor="text1"/>
                <w:sz w:val="24"/>
                <w:szCs w:val="24"/>
                <w14:textFill>
                  <w14:solidFill>
                    <w14:schemeClr w14:val="tx1"/>
                  </w14:solidFill>
                </w14:textFill>
              </w:rPr>
              <w:t>3</w:t>
            </w:r>
            <w:r>
              <w:rPr>
                <w:rFonts w:ascii="Times New Roman" w:hAnsi="Times New Roman" w:eastAsia="仿宋" w:cs="Times New Roman"/>
                <w:b w:val="0"/>
                <w:bCs w:val="0"/>
                <w:color w:val="000000" w:themeColor="text1"/>
                <w:sz w:val="24"/>
                <w:szCs w:val="24"/>
                <w14:textFill>
                  <w14:solidFill>
                    <w14:schemeClr w14:val="tx1"/>
                  </w14:solidFill>
                </w14:textFill>
              </w:rPr>
              <w:t>2</w:t>
            </w:r>
          </w:p>
        </w:tc>
        <w:tc>
          <w:tcPr>
            <w:tcW w:w="54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50B84C5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2</w:t>
            </w:r>
          </w:p>
        </w:tc>
        <w:tc>
          <w:tcPr>
            <w:tcW w:w="107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49567EA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秋季</w:t>
            </w:r>
          </w:p>
        </w:tc>
        <w:tc>
          <w:tcPr>
            <w:tcW w:w="1702" w:type="dxa"/>
            <w:tcBorders>
              <w:top w:val="single" w:color="auto" w:sz="4" w:space="0"/>
              <w:left w:val="single" w:color="auto" w:sz="4" w:space="0"/>
              <w:bottom w:val="single" w:color="auto" w:sz="4" w:space="0"/>
              <w:right w:val="single" w:color="auto" w:sz="4" w:space="0"/>
            </w:tcBorders>
            <w:tcMar>
              <w:top w:w="0" w:type="dxa"/>
              <w:left w:w="6" w:type="dxa"/>
              <w:bottom w:w="0" w:type="dxa"/>
              <w:right w:w="6" w:type="dxa"/>
            </w:tcMar>
            <w:vAlign w:val="center"/>
          </w:tcPr>
          <w:p w14:paraId="1645919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马克思主义学院</w:t>
            </w:r>
          </w:p>
        </w:tc>
        <w:tc>
          <w:tcPr>
            <w:tcW w:w="843" w:type="dxa"/>
            <w:vMerge w:val="restar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05EF9EF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p>
        </w:tc>
      </w:tr>
      <w:tr w14:paraId="3026572B">
        <w:tblPrEx>
          <w:tblCellMar>
            <w:top w:w="0" w:type="dxa"/>
            <w:left w:w="0" w:type="dxa"/>
            <w:bottom w:w="0" w:type="dxa"/>
            <w:right w:w="0" w:type="dxa"/>
          </w:tblCellMar>
        </w:tblPrEx>
        <w:trPr>
          <w:trHeight w:val="403" w:hRule="atLeast"/>
          <w:jc w:val="center"/>
        </w:trPr>
        <w:tc>
          <w:tcPr>
            <w:tcW w:w="526" w:type="dxa"/>
            <w:vMerge w:val="continue"/>
            <w:tcBorders>
              <w:left w:val="single" w:color="000000" w:sz="2" w:space="0"/>
              <w:right w:val="single" w:color="000000" w:sz="2" w:space="0"/>
            </w:tcBorders>
            <w:vAlign w:val="center"/>
          </w:tcPr>
          <w:p w14:paraId="6C99A39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590" w:type="dxa"/>
            <w:vMerge w:val="continue"/>
            <w:tcBorders>
              <w:left w:val="single" w:color="000000" w:sz="2" w:space="0"/>
              <w:right w:val="single" w:color="000000" w:sz="2" w:space="0"/>
            </w:tcBorders>
            <w:vAlign w:val="center"/>
          </w:tcPr>
          <w:p w14:paraId="5D24D4E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1780" w:type="dxa"/>
            <w:tcBorders>
              <w:top w:val="single" w:color="000000" w:sz="2" w:space="0"/>
              <w:left w:val="single" w:color="000000" w:sz="2" w:space="0"/>
              <w:bottom w:val="single" w:color="000000" w:sz="2" w:space="0"/>
              <w:right w:val="single" w:color="auto" w:sz="4" w:space="0"/>
            </w:tcBorders>
            <w:tcMar>
              <w:top w:w="0" w:type="dxa"/>
              <w:left w:w="28" w:type="dxa"/>
              <w:bottom w:w="0" w:type="dxa"/>
              <w:right w:w="28" w:type="dxa"/>
            </w:tcMar>
            <w:vAlign w:val="center"/>
          </w:tcPr>
          <w:p w14:paraId="6907A87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r>
              <w:rPr>
                <w:rFonts w:ascii="Times New Roman" w:hAnsi="Times New Roman" w:eastAsia="仿宋" w:cs="Times New Roman"/>
                <w:b w:val="0"/>
                <w:bCs w:val="0"/>
                <w:color w:val="000000" w:themeColor="text1"/>
                <w:sz w:val="24"/>
                <w:szCs w:val="24"/>
                <w:lang w:bidi="ar"/>
                <w14:textFill>
                  <w14:solidFill>
                    <w14:schemeClr w14:val="tx1"/>
                  </w14:solidFill>
                </w14:textFill>
              </w:rPr>
              <w:t>241700002A02</w:t>
            </w:r>
          </w:p>
        </w:tc>
        <w:tc>
          <w:tcPr>
            <w:tcW w:w="236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5D67FD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val="zh-CN"/>
                <w14:textFill>
                  <w14:solidFill>
                    <w14:schemeClr w14:val="tx1"/>
                  </w14:solidFill>
                </w14:textFill>
              </w:rPr>
              <w:t>马克思主义与社会科学方法论</w:t>
            </w:r>
          </w:p>
        </w:tc>
        <w:tc>
          <w:tcPr>
            <w:tcW w:w="62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70F37E8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r>
              <w:rPr>
                <w:rFonts w:hint="eastAsia" w:ascii="Times New Roman" w:hAnsi="Times New Roman" w:eastAsia="仿宋" w:cs="Times New Roman"/>
                <w:b w:val="0"/>
                <w:bCs w:val="0"/>
                <w:color w:val="000000" w:themeColor="text1"/>
                <w:sz w:val="24"/>
                <w:szCs w:val="24"/>
                <w14:textFill>
                  <w14:solidFill>
                    <w14:schemeClr w14:val="tx1"/>
                  </w14:solidFill>
                </w14:textFill>
              </w:rPr>
              <w:t>1</w:t>
            </w:r>
            <w:r>
              <w:rPr>
                <w:rFonts w:ascii="Times New Roman" w:hAnsi="Times New Roman" w:eastAsia="仿宋" w:cs="Times New Roman"/>
                <w:b w:val="0"/>
                <w:bCs w:val="0"/>
                <w:color w:val="000000" w:themeColor="text1"/>
                <w:sz w:val="24"/>
                <w:szCs w:val="24"/>
                <w14:textFill>
                  <w14:solidFill>
                    <w14:schemeClr w14:val="tx1"/>
                  </w14:solidFill>
                </w14:textFill>
              </w:rPr>
              <w:t>6</w:t>
            </w:r>
          </w:p>
        </w:tc>
        <w:tc>
          <w:tcPr>
            <w:tcW w:w="54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4849BA9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1</w:t>
            </w:r>
          </w:p>
        </w:tc>
        <w:tc>
          <w:tcPr>
            <w:tcW w:w="107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4F87F98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春季</w:t>
            </w:r>
          </w:p>
        </w:tc>
        <w:tc>
          <w:tcPr>
            <w:tcW w:w="1702" w:type="dxa"/>
            <w:tcBorders>
              <w:top w:val="single" w:color="auto" w:sz="4" w:space="0"/>
              <w:left w:val="single" w:color="auto" w:sz="4" w:space="0"/>
              <w:bottom w:val="single" w:color="auto" w:sz="4" w:space="0"/>
              <w:right w:val="single" w:color="auto" w:sz="4" w:space="0"/>
            </w:tcBorders>
            <w:tcMar>
              <w:top w:w="0" w:type="dxa"/>
              <w:left w:w="6" w:type="dxa"/>
              <w:bottom w:w="0" w:type="dxa"/>
              <w:right w:w="6" w:type="dxa"/>
            </w:tcMar>
            <w:vAlign w:val="center"/>
          </w:tcPr>
          <w:p w14:paraId="2E7BFB7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马克思主义学院</w:t>
            </w:r>
          </w:p>
        </w:tc>
        <w:tc>
          <w:tcPr>
            <w:tcW w:w="843" w:type="dxa"/>
            <w:vMerge w:val="continue"/>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56A0A9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p>
        </w:tc>
      </w:tr>
      <w:tr w14:paraId="4A9B3CB2">
        <w:tblPrEx>
          <w:tblCellMar>
            <w:top w:w="0" w:type="dxa"/>
            <w:left w:w="0" w:type="dxa"/>
            <w:bottom w:w="0" w:type="dxa"/>
            <w:right w:w="0" w:type="dxa"/>
          </w:tblCellMar>
        </w:tblPrEx>
        <w:trPr>
          <w:trHeight w:val="400" w:hRule="atLeast"/>
          <w:jc w:val="center"/>
        </w:trPr>
        <w:tc>
          <w:tcPr>
            <w:tcW w:w="526" w:type="dxa"/>
            <w:vMerge w:val="continue"/>
            <w:tcBorders>
              <w:left w:val="single" w:color="000000" w:sz="2" w:space="0"/>
              <w:right w:val="single" w:color="000000" w:sz="2" w:space="0"/>
            </w:tcBorders>
            <w:vAlign w:val="center"/>
          </w:tcPr>
          <w:p w14:paraId="49EAEB8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590" w:type="dxa"/>
            <w:vMerge w:val="continue"/>
            <w:tcBorders>
              <w:left w:val="single" w:color="000000" w:sz="2" w:space="0"/>
              <w:right w:val="single" w:color="000000" w:sz="2" w:space="0"/>
            </w:tcBorders>
            <w:vAlign w:val="center"/>
          </w:tcPr>
          <w:p w14:paraId="545B85B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1780" w:type="dxa"/>
            <w:tcBorders>
              <w:top w:val="single" w:color="000000" w:sz="2" w:space="0"/>
              <w:left w:val="single" w:color="000000" w:sz="2" w:space="0"/>
              <w:bottom w:val="single" w:color="000000" w:sz="2" w:space="0"/>
              <w:right w:val="single" w:color="auto" w:sz="4" w:space="0"/>
            </w:tcBorders>
            <w:tcMar>
              <w:top w:w="0" w:type="dxa"/>
              <w:left w:w="28" w:type="dxa"/>
              <w:bottom w:w="0" w:type="dxa"/>
              <w:right w:w="28" w:type="dxa"/>
            </w:tcMar>
            <w:vAlign w:val="center"/>
          </w:tcPr>
          <w:p w14:paraId="5626BE1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bidi="ar"/>
                <w14:textFill>
                  <w14:solidFill>
                    <w14:schemeClr w14:val="tx1"/>
                  </w14:solidFill>
                </w14:textFill>
              </w:rPr>
              <w:t>241800002A03</w:t>
            </w:r>
          </w:p>
        </w:tc>
        <w:tc>
          <w:tcPr>
            <w:tcW w:w="236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275739B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val="zh-CN"/>
                <w14:textFill>
                  <w14:solidFill>
                    <w14:schemeClr w14:val="tx1"/>
                  </w14:solidFill>
                </w14:textFill>
              </w:rPr>
              <w:t>学术交流英语（二）</w:t>
            </w:r>
          </w:p>
        </w:tc>
        <w:tc>
          <w:tcPr>
            <w:tcW w:w="62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584D242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r>
              <w:rPr>
                <w:rFonts w:hint="eastAsia" w:ascii="Times New Roman" w:hAnsi="Times New Roman" w:eastAsia="仿宋" w:cs="Times New Roman"/>
                <w:b w:val="0"/>
                <w:bCs w:val="0"/>
                <w:color w:val="000000" w:themeColor="text1"/>
                <w:sz w:val="24"/>
                <w:szCs w:val="24"/>
                <w14:textFill>
                  <w14:solidFill>
                    <w14:schemeClr w14:val="tx1"/>
                  </w14:solidFill>
                </w14:textFill>
              </w:rPr>
              <w:t>4</w:t>
            </w:r>
            <w:r>
              <w:rPr>
                <w:rFonts w:ascii="Times New Roman" w:hAnsi="Times New Roman" w:eastAsia="仿宋" w:cs="Times New Roman"/>
                <w:b w:val="0"/>
                <w:bCs w:val="0"/>
                <w:color w:val="000000" w:themeColor="text1"/>
                <w:sz w:val="24"/>
                <w:szCs w:val="24"/>
                <w14:textFill>
                  <w14:solidFill>
                    <w14:schemeClr w14:val="tx1"/>
                  </w14:solidFill>
                </w14:textFill>
              </w:rPr>
              <w:t>8</w:t>
            </w:r>
          </w:p>
        </w:tc>
        <w:tc>
          <w:tcPr>
            <w:tcW w:w="54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226FBDE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3</w:t>
            </w:r>
          </w:p>
        </w:tc>
        <w:tc>
          <w:tcPr>
            <w:tcW w:w="107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3D4744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秋季</w:t>
            </w:r>
          </w:p>
        </w:tc>
        <w:tc>
          <w:tcPr>
            <w:tcW w:w="170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787D6DD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外国语学院</w:t>
            </w:r>
          </w:p>
        </w:tc>
        <w:tc>
          <w:tcPr>
            <w:tcW w:w="843" w:type="dxa"/>
            <w:vMerge w:val="continue"/>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7EEC4EE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p>
        </w:tc>
      </w:tr>
      <w:tr w14:paraId="3FE25D96">
        <w:tblPrEx>
          <w:tblCellMar>
            <w:top w:w="0" w:type="dxa"/>
            <w:left w:w="0" w:type="dxa"/>
            <w:bottom w:w="0" w:type="dxa"/>
            <w:right w:w="0" w:type="dxa"/>
          </w:tblCellMar>
        </w:tblPrEx>
        <w:trPr>
          <w:trHeight w:val="400" w:hRule="atLeast"/>
          <w:jc w:val="center"/>
        </w:trPr>
        <w:tc>
          <w:tcPr>
            <w:tcW w:w="526" w:type="dxa"/>
            <w:vMerge w:val="continue"/>
            <w:tcBorders>
              <w:left w:val="single" w:color="000000" w:sz="2" w:space="0"/>
              <w:right w:val="single" w:color="000000" w:sz="2" w:space="0"/>
            </w:tcBorders>
            <w:vAlign w:val="center"/>
          </w:tcPr>
          <w:p w14:paraId="4074579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590" w:type="dxa"/>
            <w:vMerge w:val="continue"/>
            <w:tcBorders>
              <w:left w:val="single" w:color="000000" w:sz="2" w:space="0"/>
              <w:bottom w:val="single" w:color="auto" w:sz="4" w:space="0"/>
              <w:right w:val="single" w:color="auto" w:sz="4" w:space="0"/>
            </w:tcBorders>
            <w:vAlign w:val="center"/>
          </w:tcPr>
          <w:p w14:paraId="4A5167B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4140"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005B1B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bCs/>
                <w:color w:val="000000" w:themeColor="text1"/>
                <w:sz w:val="24"/>
                <w:szCs w:val="24"/>
                <w:lang w:val="zh-CN"/>
                <w14:textFill>
                  <w14:solidFill>
                    <w14:schemeClr w14:val="tx1"/>
                  </w14:solidFill>
                </w14:textFill>
              </w:rPr>
            </w:pPr>
            <w:r>
              <w:rPr>
                <w:rFonts w:ascii="Times New Roman" w:hAnsi="Times New Roman" w:eastAsia="仿宋" w:cs="Times New Roman"/>
                <w:b/>
                <w:bCs/>
                <w:color w:val="000000" w:themeColor="text1"/>
                <w:sz w:val="24"/>
                <w:szCs w:val="24"/>
                <w:lang w:val="zh-CN"/>
                <w14:textFill>
                  <w14:solidFill>
                    <w14:schemeClr w14:val="tx1"/>
                  </w14:solidFill>
                </w14:textFill>
              </w:rPr>
              <w:t>小计</w:t>
            </w:r>
          </w:p>
        </w:tc>
        <w:tc>
          <w:tcPr>
            <w:tcW w:w="62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57FEDE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r>
              <w:rPr>
                <w:rFonts w:hint="eastAsia" w:ascii="Times New Roman" w:hAnsi="Times New Roman" w:eastAsia="仿宋" w:cs="Times New Roman"/>
                <w:b/>
                <w:bCs/>
                <w:color w:val="000000" w:themeColor="text1"/>
                <w:sz w:val="24"/>
                <w:szCs w:val="24"/>
                <w14:textFill>
                  <w14:solidFill>
                    <w14:schemeClr w14:val="tx1"/>
                  </w14:solidFill>
                </w14:textFill>
              </w:rPr>
              <w:t>9</w:t>
            </w:r>
            <w:r>
              <w:rPr>
                <w:rFonts w:ascii="Times New Roman" w:hAnsi="Times New Roman" w:eastAsia="仿宋" w:cs="Times New Roman"/>
                <w:b/>
                <w:bCs/>
                <w:color w:val="000000" w:themeColor="text1"/>
                <w:sz w:val="24"/>
                <w:szCs w:val="24"/>
                <w14:textFill>
                  <w14:solidFill>
                    <w14:schemeClr w14:val="tx1"/>
                  </w14:solidFill>
                </w14:textFill>
              </w:rPr>
              <w:t>6</w:t>
            </w:r>
          </w:p>
        </w:tc>
        <w:tc>
          <w:tcPr>
            <w:tcW w:w="54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77D6C61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r>
              <w:rPr>
                <w:rFonts w:ascii="Times New Roman" w:hAnsi="Times New Roman" w:eastAsia="仿宋" w:cs="Times New Roman"/>
                <w:b/>
                <w:bCs/>
                <w:color w:val="000000" w:themeColor="text1"/>
                <w:sz w:val="24"/>
                <w:szCs w:val="24"/>
                <w14:textFill>
                  <w14:solidFill>
                    <w14:schemeClr w14:val="tx1"/>
                  </w14:solidFill>
                </w14:textFill>
              </w:rPr>
              <w:t>6</w:t>
            </w:r>
          </w:p>
        </w:tc>
        <w:tc>
          <w:tcPr>
            <w:tcW w:w="107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057AD81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170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54BFF17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84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2A06F8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p>
        </w:tc>
      </w:tr>
      <w:tr w14:paraId="47383C75">
        <w:tblPrEx>
          <w:tblCellMar>
            <w:top w:w="0" w:type="dxa"/>
            <w:left w:w="0" w:type="dxa"/>
            <w:bottom w:w="0" w:type="dxa"/>
            <w:right w:w="0" w:type="dxa"/>
          </w:tblCellMar>
        </w:tblPrEx>
        <w:trPr>
          <w:trHeight w:val="400" w:hRule="atLeast"/>
          <w:jc w:val="center"/>
        </w:trPr>
        <w:tc>
          <w:tcPr>
            <w:tcW w:w="526" w:type="dxa"/>
            <w:vMerge w:val="continue"/>
            <w:tcBorders>
              <w:left w:val="single" w:color="000000" w:sz="2" w:space="0"/>
              <w:right w:val="single" w:color="000000" w:sz="2" w:space="0"/>
            </w:tcBorders>
            <w:vAlign w:val="center"/>
          </w:tcPr>
          <w:p w14:paraId="6A2D266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590" w:type="dxa"/>
            <w:vMerge w:val="restart"/>
            <w:tcBorders>
              <w:top w:val="single" w:color="auto" w:sz="4" w:space="0"/>
              <w:left w:val="single" w:color="000000" w:sz="2" w:space="0"/>
              <w:right w:val="single" w:color="000000" w:sz="2" w:space="0"/>
            </w:tcBorders>
            <w:vAlign w:val="center"/>
          </w:tcPr>
          <w:p w14:paraId="1955848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Times New Roman" w:hAnsi="Times New Roman" w:eastAsia="仿宋" w:cs="Times New Roman"/>
                <w:b/>
                <w:bCs/>
                <w:color w:val="000000" w:themeColor="text1"/>
                <w:sz w:val="24"/>
                <w:szCs w:val="24"/>
                <w14:textFill>
                  <w14:solidFill>
                    <w14:schemeClr w14:val="tx1"/>
                  </w14:solidFill>
                </w14:textFill>
              </w:rPr>
            </w:pPr>
            <w:r>
              <w:rPr>
                <w:rFonts w:ascii="Times New Roman" w:hAnsi="Times New Roman" w:eastAsia="仿宋" w:cs="Times New Roman"/>
                <w:b/>
                <w:bCs/>
                <w:color w:val="000000" w:themeColor="text1"/>
                <w:sz w:val="24"/>
                <w:szCs w:val="24"/>
                <w14:textFill>
                  <w14:solidFill>
                    <w14:schemeClr w14:val="tx1"/>
                  </w14:solidFill>
                </w14:textFill>
              </w:rPr>
              <w:t>专</w:t>
            </w:r>
          </w:p>
          <w:p w14:paraId="1FF2CA6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Times New Roman" w:hAnsi="Times New Roman" w:eastAsia="仿宋" w:cs="Times New Roman"/>
                <w:b/>
                <w:bCs/>
                <w:color w:val="000000" w:themeColor="text1"/>
                <w:sz w:val="24"/>
                <w:szCs w:val="24"/>
                <w14:textFill>
                  <w14:solidFill>
                    <w14:schemeClr w14:val="tx1"/>
                  </w14:solidFill>
                </w14:textFill>
              </w:rPr>
            </w:pPr>
            <w:r>
              <w:rPr>
                <w:rFonts w:ascii="Times New Roman" w:hAnsi="Times New Roman" w:eastAsia="仿宋" w:cs="Times New Roman"/>
                <w:b/>
                <w:bCs/>
                <w:color w:val="000000" w:themeColor="text1"/>
                <w:sz w:val="24"/>
                <w:szCs w:val="24"/>
                <w14:textFill>
                  <w14:solidFill>
                    <w14:schemeClr w14:val="tx1"/>
                  </w14:solidFill>
                </w14:textFill>
              </w:rPr>
              <w:t>业</w:t>
            </w:r>
          </w:p>
          <w:p w14:paraId="301335A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Times New Roman" w:hAnsi="Times New Roman" w:eastAsia="仿宋" w:cs="Times New Roman"/>
                <w:b/>
                <w:bCs/>
                <w:color w:val="000000" w:themeColor="text1"/>
                <w:sz w:val="24"/>
                <w:szCs w:val="24"/>
                <w14:textFill>
                  <w14:solidFill>
                    <w14:schemeClr w14:val="tx1"/>
                  </w14:solidFill>
                </w14:textFill>
              </w:rPr>
            </w:pPr>
            <w:r>
              <w:rPr>
                <w:rFonts w:ascii="Times New Roman" w:hAnsi="Times New Roman" w:eastAsia="仿宋" w:cs="Times New Roman"/>
                <w:b/>
                <w:bCs/>
                <w:color w:val="000000" w:themeColor="text1"/>
                <w:sz w:val="24"/>
                <w:szCs w:val="24"/>
                <w14:textFill>
                  <w14:solidFill>
                    <w14:schemeClr w14:val="tx1"/>
                  </w14:solidFill>
                </w14:textFill>
              </w:rPr>
              <w:t>学</w:t>
            </w:r>
          </w:p>
          <w:p w14:paraId="75773A2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Times New Roman" w:hAnsi="Times New Roman" w:eastAsia="仿宋" w:cs="Times New Roman"/>
                <w:b/>
                <w:bCs/>
                <w:color w:val="000000" w:themeColor="text1"/>
                <w:sz w:val="24"/>
                <w:szCs w:val="24"/>
                <w14:textFill>
                  <w14:solidFill>
                    <w14:schemeClr w14:val="tx1"/>
                  </w14:solidFill>
                </w14:textFill>
              </w:rPr>
            </w:pPr>
            <w:r>
              <w:rPr>
                <w:rFonts w:ascii="Times New Roman" w:hAnsi="Times New Roman" w:eastAsia="仿宋" w:cs="Times New Roman"/>
                <w:b/>
                <w:bCs/>
                <w:color w:val="000000" w:themeColor="text1"/>
                <w:sz w:val="24"/>
                <w:szCs w:val="24"/>
                <w14:textFill>
                  <w14:solidFill>
                    <w14:schemeClr w14:val="tx1"/>
                  </w14:solidFill>
                </w14:textFill>
              </w:rPr>
              <w:t>位</w:t>
            </w:r>
          </w:p>
          <w:p w14:paraId="07C6286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r>
              <w:rPr>
                <w:rFonts w:ascii="Times New Roman" w:hAnsi="Times New Roman" w:eastAsia="仿宋" w:cs="Times New Roman"/>
                <w:b/>
                <w:bCs/>
                <w:color w:val="000000" w:themeColor="text1"/>
                <w:sz w:val="24"/>
                <w:szCs w:val="24"/>
                <w14:textFill>
                  <w14:solidFill>
                    <w14:schemeClr w14:val="tx1"/>
                  </w14:solidFill>
                </w14:textFill>
              </w:rPr>
              <w:t>课</w:t>
            </w:r>
          </w:p>
        </w:tc>
        <w:tc>
          <w:tcPr>
            <w:tcW w:w="1780" w:type="dxa"/>
            <w:tcBorders>
              <w:top w:val="single" w:color="000000" w:sz="2" w:space="0"/>
              <w:left w:val="single" w:color="000000" w:sz="2" w:space="0"/>
              <w:bottom w:val="single" w:color="000000" w:sz="2" w:space="0"/>
              <w:right w:val="single" w:color="auto" w:sz="4" w:space="0"/>
            </w:tcBorders>
            <w:tcMar>
              <w:top w:w="0" w:type="dxa"/>
              <w:left w:w="28" w:type="dxa"/>
              <w:bottom w:w="0" w:type="dxa"/>
              <w:right w:w="28" w:type="dxa"/>
            </w:tcMar>
            <w:vAlign w:val="center"/>
          </w:tcPr>
          <w:p w14:paraId="5807C83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241412522B01</w:t>
            </w:r>
          </w:p>
        </w:tc>
        <w:tc>
          <w:tcPr>
            <w:tcW w:w="236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D998C1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val="zh-CN"/>
                <w14:textFill>
                  <w14:solidFill>
                    <w14:schemeClr w14:val="tx1"/>
                  </w14:solidFill>
                </w14:textFill>
              </w:rPr>
              <w:t>论文写作与学术规范</w:t>
            </w:r>
          </w:p>
        </w:tc>
        <w:tc>
          <w:tcPr>
            <w:tcW w:w="62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469F8C6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hint="eastAsia" w:ascii="Times New Roman" w:hAnsi="Times New Roman" w:eastAsia="仿宋" w:cs="Times New Roman"/>
                <w:b w:val="0"/>
                <w:bCs w:val="0"/>
                <w:color w:val="000000" w:themeColor="text1"/>
                <w:sz w:val="24"/>
                <w:szCs w:val="24"/>
                <w14:textFill>
                  <w14:solidFill>
                    <w14:schemeClr w14:val="tx1"/>
                  </w14:solidFill>
                </w14:textFill>
              </w:rPr>
              <w:t>1</w:t>
            </w:r>
            <w:r>
              <w:rPr>
                <w:rFonts w:ascii="Times New Roman" w:hAnsi="Times New Roman" w:eastAsia="仿宋" w:cs="Times New Roman"/>
                <w:b w:val="0"/>
                <w:bCs w:val="0"/>
                <w:color w:val="000000" w:themeColor="text1"/>
                <w:sz w:val="24"/>
                <w:szCs w:val="24"/>
                <w14:textFill>
                  <w14:solidFill>
                    <w14:schemeClr w14:val="tx1"/>
                  </w14:solidFill>
                </w14:textFill>
              </w:rPr>
              <w:t>6</w:t>
            </w:r>
          </w:p>
        </w:tc>
        <w:tc>
          <w:tcPr>
            <w:tcW w:w="54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71DAC4B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1</w:t>
            </w:r>
          </w:p>
        </w:tc>
        <w:tc>
          <w:tcPr>
            <w:tcW w:w="107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70B9137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春季</w:t>
            </w:r>
          </w:p>
        </w:tc>
        <w:tc>
          <w:tcPr>
            <w:tcW w:w="170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072BBF2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公共管理与人文地理学院</w:t>
            </w:r>
          </w:p>
        </w:tc>
        <w:tc>
          <w:tcPr>
            <w:tcW w:w="843" w:type="dxa"/>
            <w:vMerge w:val="restar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451F53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p>
        </w:tc>
      </w:tr>
      <w:tr w14:paraId="476847E8">
        <w:tblPrEx>
          <w:tblCellMar>
            <w:top w:w="0" w:type="dxa"/>
            <w:left w:w="0" w:type="dxa"/>
            <w:bottom w:w="0" w:type="dxa"/>
            <w:right w:w="0" w:type="dxa"/>
          </w:tblCellMar>
        </w:tblPrEx>
        <w:trPr>
          <w:trHeight w:val="400" w:hRule="atLeast"/>
          <w:jc w:val="center"/>
        </w:trPr>
        <w:tc>
          <w:tcPr>
            <w:tcW w:w="526" w:type="dxa"/>
            <w:vMerge w:val="continue"/>
            <w:tcBorders>
              <w:left w:val="single" w:color="000000" w:sz="2" w:space="0"/>
              <w:right w:val="single" w:color="000000" w:sz="2" w:space="0"/>
            </w:tcBorders>
            <w:vAlign w:val="center"/>
          </w:tcPr>
          <w:p w14:paraId="53741E4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590" w:type="dxa"/>
            <w:vMerge w:val="continue"/>
            <w:tcBorders>
              <w:top w:val="single" w:color="auto" w:sz="4" w:space="0"/>
              <w:left w:val="single" w:color="000000" w:sz="2" w:space="0"/>
              <w:bottom w:val="single" w:color="auto" w:sz="4" w:space="0"/>
              <w:right w:val="single" w:color="000000" w:sz="2" w:space="0"/>
            </w:tcBorders>
            <w:vAlign w:val="center"/>
          </w:tcPr>
          <w:p w14:paraId="28BB935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1780" w:type="dxa"/>
            <w:tcBorders>
              <w:top w:val="single" w:color="000000" w:sz="2" w:space="0"/>
              <w:left w:val="single" w:color="000000" w:sz="2" w:space="0"/>
              <w:bottom w:val="single" w:color="000000" w:sz="2" w:space="0"/>
              <w:right w:val="single" w:color="auto" w:sz="4" w:space="0"/>
            </w:tcBorders>
            <w:tcMar>
              <w:top w:w="0" w:type="dxa"/>
              <w:left w:w="28" w:type="dxa"/>
              <w:bottom w:w="0" w:type="dxa"/>
              <w:right w:w="28" w:type="dxa"/>
            </w:tcMar>
            <w:vAlign w:val="center"/>
          </w:tcPr>
          <w:p w14:paraId="3F0F635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240112012B01</w:t>
            </w:r>
          </w:p>
        </w:tc>
        <w:tc>
          <w:tcPr>
            <w:tcW w:w="236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4C63D7E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val="zh-CN"/>
                <w14:textFill>
                  <w14:solidFill>
                    <w14:schemeClr w14:val="tx1"/>
                  </w14:solidFill>
                </w14:textFill>
              </w:rPr>
              <w:t>管理科学研究方法</w:t>
            </w:r>
          </w:p>
        </w:tc>
        <w:tc>
          <w:tcPr>
            <w:tcW w:w="62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2D5F839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t>1</w:t>
            </w:r>
            <w:r>
              <w:rPr>
                <w:rFonts w:ascii="Times New Roman" w:hAnsi="Times New Roman" w:eastAsia="仿宋" w:cs="Times New Roman"/>
                <w:b w:val="0"/>
                <w:bCs w:val="0"/>
                <w:color w:val="000000" w:themeColor="text1"/>
                <w:sz w:val="24"/>
                <w:szCs w:val="24"/>
                <w:lang w:val="zh-CN"/>
                <w14:textFill>
                  <w14:solidFill>
                    <w14:schemeClr w14:val="tx1"/>
                  </w14:solidFill>
                </w14:textFill>
              </w:rPr>
              <w:t>6</w:t>
            </w:r>
          </w:p>
        </w:tc>
        <w:tc>
          <w:tcPr>
            <w:tcW w:w="54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44478E7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val="zh-CN"/>
                <w14:textFill>
                  <w14:solidFill>
                    <w14:schemeClr w14:val="tx1"/>
                  </w14:solidFill>
                </w14:textFill>
              </w:rPr>
              <w:t>1</w:t>
            </w:r>
          </w:p>
        </w:tc>
        <w:tc>
          <w:tcPr>
            <w:tcW w:w="107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08326DC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秋季</w:t>
            </w:r>
          </w:p>
        </w:tc>
        <w:tc>
          <w:tcPr>
            <w:tcW w:w="170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11AA951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val="zh-CN"/>
                <w14:textFill>
                  <w14:solidFill>
                    <w14:schemeClr w14:val="tx1"/>
                  </w14:solidFill>
                </w14:textFill>
              </w:rPr>
              <w:t>前沿交叉学院</w:t>
            </w:r>
          </w:p>
        </w:tc>
        <w:tc>
          <w:tcPr>
            <w:tcW w:w="843" w:type="dxa"/>
            <w:vMerge w:val="continue"/>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5826110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p>
        </w:tc>
      </w:tr>
      <w:tr w14:paraId="5883FD69">
        <w:tblPrEx>
          <w:tblCellMar>
            <w:top w:w="0" w:type="dxa"/>
            <w:left w:w="0" w:type="dxa"/>
            <w:bottom w:w="0" w:type="dxa"/>
            <w:right w:w="0" w:type="dxa"/>
          </w:tblCellMar>
        </w:tblPrEx>
        <w:trPr>
          <w:trHeight w:val="400" w:hRule="atLeast"/>
          <w:jc w:val="center"/>
        </w:trPr>
        <w:tc>
          <w:tcPr>
            <w:tcW w:w="526" w:type="dxa"/>
            <w:vMerge w:val="continue"/>
            <w:tcBorders>
              <w:left w:val="single" w:color="000000" w:sz="2" w:space="0"/>
              <w:right w:val="single" w:color="000000" w:sz="2" w:space="0"/>
            </w:tcBorders>
            <w:vAlign w:val="center"/>
          </w:tcPr>
          <w:p w14:paraId="069B6D9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590" w:type="dxa"/>
            <w:vMerge w:val="continue"/>
            <w:tcBorders>
              <w:top w:val="single" w:color="auto" w:sz="4" w:space="0"/>
              <w:left w:val="single" w:color="000000" w:sz="2" w:space="0"/>
              <w:bottom w:val="single" w:color="auto" w:sz="4" w:space="0"/>
              <w:right w:val="single" w:color="000000" w:sz="2" w:space="0"/>
            </w:tcBorders>
            <w:vAlign w:val="center"/>
          </w:tcPr>
          <w:p w14:paraId="13C9142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1780" w:type="dxa"/>
            <w:tcBorders>
              <w:top w:val="single" w:color="000000" w:sz="2" w:space="0"/>
              <w:left w:val="single" w:color="000000" w:sz="2" w:space="0"/>
              <w:bottom w:val="single" w:color="000000" w:sz="2" w:space="0"/>
              <w:right w:val="single" w:color="auto" w:sz="4" w:space="0"/>
            </w:tcBorders>
            <w:tcMar>
              <w:top w:w="0" w:type="dxa"/>
              <w:left w:w="28" w:type="dxa"/>
              <w:bottom w:w="0" w:type="dxa"/>
              <w:right w:w="28" w:type="dxa"/>
            </w:tcMar>
            <w:vAlign w:val="center"/>
          </w:tcPr>
          <w:p w14:paraId="2417CAA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241412542B03</w:t>
            </w:r>
          </w:p>
        </w:tc>
        <w:tc>
          <w:tcPr>
            <w:tcW w:w="236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FC64D5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val="zh-CN"/>
                <w14:textFill>
                  <w14:solidFill>
                    <w14:schemeClr w14:val="tx1"/>
                  </w14:solidFill>
                </w14:textFill>
              </w:rPr>
              <w:t>旅游研究前沿与方法</w:t>
            </w:r>
          </w:p>
        </w:tc>
        <w:tc>
          <w:tcPr>
            <w:tcW w:w="62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593142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hint="eastAsia" w:ascii="Times New Roman" w:hAnsi="Times New Roman" w:eastAsia="仿宋" w:cs="Times New Roman"/>
                <w:b w:val="0"/>
                <w:bCs w:val="0"/>
                <w:color w:val="000000" w:themeColor="text1"/>
                <w:sz w:val="24"/>
                <w:szCs w:val="24"/>
                <w14:textFill>
                  <w14:solidFill>
                    <w14:schemeClr w14:val="tx1"/>
                  </w14:solidFill>
                </w14:textFill>
              </w:rPr>
              <w:t>1</w:t>
            </w:r>
            <w:r>
              <w:rPr>
                <w:rFonts w:ascii="Times New Roman" w:hAnsi="Times New Roman" w:eastAsia="仿宋" w:cs="Times New Roman"/>
                <w:b w:val="0"/>
                <w:bCs w:val="0"/>
                <w:color w:val="000000" w:themeColor="text1"/>
                <w:sz w:val="24"/>
                <w:szCs w:val="24"/>
                <w14:textFill>
                  <w14:solidFill>
                    <w14:schemeClr w14:val="tx1"/>
                  </w14:solidFill>
                </w14:textFill>
              </w:rPr>
              <w:t>6</w:t>
            </w:r>
          </w:p>
        </w:tc>
        <w:tc>
          <w:tcPr>
            <w:tcW w:w="54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678B91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val="zh-CN"/>
                <w14:textFill>
                  <w14:solidFill>
                    <w14:schemeClr w14:val="tx1"/>
                  </w14:solidFill>
                </w14:textFill>
              </w:rPr>
              <w:t>1</w:t>
            </w:r>
          </w:p>
        </w:tc>
        <w:tc>
          <w:tcPr>
            <w:tcW w:w="107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4061858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秋季</w:t>
            </w:r>
          </w:p>
        </w:tc>
        <w:tc>
          <w:tcPr>
            <w:tcW w:w="170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784CE55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公共管理与人文地理学院</w:t>
            </w:r>
          </w:p>
        </w:tc>
        <w:tc>
          <w:tcPr>
            <w:tcW w:w="843" w:type="dxa"/>
            <w:vMerge w:val="continue"/>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906E4C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p>
        </w:tc>
      </w:tr>
      <w:tr w14:paraId="4933FA0E">
        <w:tblPrEx>
          <w:tblCellMar>
            <w:top w:w="0" w:type="dxa"/>
            <w:left w:w="0" w:type="dxa"/>
            <w:bottom w:w="0" w:type="dxa"/>
            <w:right w:w="0" w:type="dxa"/>
          </w:tblCellMar>
        </w:tblPrEx>
        <w:trPr>
          <w:trHeight w:val="400" w:hRule="atLeast"/>
          <w:jc w:val="center"/>
        </w:trPr>
        <w:tc>
          <w:tcPr>
            <w:tcW w:w="526" w:type="dxa"/>
            <w:vMerge w:val="continue"/>
            <w:tcBorders>
              <w:left w:val="single" w:color="000000" w:sz="2" w:space="0"/>
              <w:right w:val="single" w:color="000000" w:sz="2" w:space="0"/>
            </w:tcBorders>
            <w:vAlign w:val="center"/>
          </w:tcPr>
          <w:p w14:paraId="5A9D91C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590" w:type="dxa"/>
            <w:vMerge w:val="continue"/>
            <w:tcBorders>
              <w:top w:val="single" w:color="auto" w:sz="4" w:space="0"/>
              <w:left w:val="single" w:color="000000" w:sz="2" w:space="0"/>
              <w:bottom w:val="single" w:color="auto" w:sz="4" w:space="0"/>
              <w:right w:val="single" w:color="auto" w:sz="4" w:space="0"/>
            </w:tcBorders>
            <w:vAlign w:val="center"/>
          </w:tcPr>
          <w:p w14:paraId="69EEDAC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4140"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0B4B1F4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bCs/>
                <w:color w:val="000000" w:themeColor="text1"/>
                <w:sz w:val="24"/>
                <w:szCs w:val="24"/>
                <w:lang w:val="zh-CN"/>
                <w14:textFill>
                  <w14:solidFill>
                    <w14:schemeClr w14:val="tx1"/>
                  </w14:solidFill>
                </w14:textFill>
              </w:rPr>
            </w:pPr>
            <w:r>
              <w:rPr>
                <w:rFonts w:ascii="Times New Roman" w:hAnsi="Times New Roman" w:eastAsia="仿宋" w:cs="Times New Roman"/>
                <w:b/>
                <w:bCs/>
                <w:color w:val="000000" w:themeColor="text1"/>
                <w:sz w:val="24"/>
                <w:szCs w:val="24"/>
                <w:lang w:val="zh-CN"/>
                <w14:textFill>
                  <w14:solidFill>
                    <w14:schemeClr w14:val="tx1"/>
                  </w14:solidFill>
                </w14:textFill>
              </w:rPr>
              <w:t>小计</w:t>
            </w:r>
          </w:p>
        </w:tc>
        <w:tc>
          <w:tcPr>
            <w:tcW w:w="62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5BFC396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r>
              <w:rPr>
                <w:rFonts w:hint="eastAsia" w:ascii="Times New Roman" w:hAnsi="Times New Roman" w:eastAsia="仿宋" w:cs="Times New Roman"/>
                <w:b/>
                <w:bCs/>
                <w:color w:val="000000" w:themeColor="text1"/>
                <w:sz w:val="24"/>
                <w:szCs w:val="24"/>
                <w14:textFill>
                  <w14:solidFill>
                    <w14:schemeClr w14:val="tx1"/>
                  </w14:solidFill>
                </w14:textFill>
              </w:rPr>
              <w:t>4</w:t>
            </w:r>
            <w:r>
              <w:rPr>
                <w:rFonts w:ascii="Times New Roman" w:hAnsi="Times New Roman" w:eastAsia="仿宋" w:cs="Times New Roman"/>
                <w:b/>
                <w:bCs/>
                <w:color w:val="000000" w:themeColor="text1"/>
                <w:sz w:val="24"/>
                <w:szCs w:val="24"/>
                <w14:textFill>
                  <w14:solidFill>
                    <w14:schemeClr w14:val="tx1"/>
                  </w14:solidFill>
                </w14:textFill>
              </w:rPr>
              <w:t>8</w:t>
            </w:r>
          </w:p>
        </w:tc>
        <w:tc>
          <w:tcPr>
            <w:tcW w:w="54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7633880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r>
              <w:rPr>
                <w:rFonts w:ascii="Times New Roman" w:hAnsi="Times New Roman" w:eastAsia="仿宋" w:cs="Times New Roman"/>
                <w:b/>
                <w:bCs/>
                <w:color w:val="000000" w:themeColor="text1"/>
                <w:sz w:val="24"/>
                <w:szCs w:val="24"/>
                <w14:textFill>
                  <w14:solidFill>
                    <w14:schemeClr w14:val="tx1"/>
                  </w14:solidFill>
                </w14:textFill>
              </w:rPr>
              <w:t>3</w:t>
            </w:r>
          </w:p>
        </w:tc>
        <w:tc>
          <w:tcPr>
            <w:tcW w:w="107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1F72DD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p>
        </w:tc>
        <w:tc>
          <w:tcPr>
            <w:tcW w:w="170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72A595B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p>
        </w:tc>
        <w:tc>
          <w:tcPr>
            <w:tcW w:w="84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556CC7A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p>
        </w:tc>
      </w:tr>
      <w:tr w14:paraId="638A5402">
        <w:tblPrEx>
          <w:tblCellMar>
            <w:top w:w="0" w:type="dxa"/>
            <w:left w:w="0" w:type="dxa"/>
            <w:bottom w:w="0" w:type="dxa"/>
            <w:right w:w="0" w:type="dxa"/>
          </w:tblCellMar>
        </w:tblPrEx>
        <w:trPr>
          <w:trHeight w:val="400" w:hRule="atLeast"/>
          <w:jc w:val="center"/>
        </w:trPr>
        <w:tc>
          <w:tcPr>
            <w:tcW w:w="526" w:type="dxa"/>
            <w:vMerge w:val="continue"/>
            <w:tcBorders>
              <w:left w:val="single" w:color="000000" w:sz="2" w:space="0"/>
              <w:right w:val="single" w:color="000000" w:sz="2" w:space="0"/>
            </w:tcBorders>
            <w:vAlign w:val="center"/>
          </w:tcPr>
          <w:p w14:paraId="6A0CC14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590" w:type="dxa"/>
            <w:vMerge w:val="continue"/>
            <w:tcBorders>
              <w:top w:val="single" w:color="auto" w:sz="4" w:space="0"/>
              <w:left w:val="single" w:color="000000" w:sz="2" w:space="0"/>
              <w:bottom w:val="single" w:color="auto" w:sz="4" w:space="0"/>
              <w:right w:val="single" w:color="000000" w:sz="2" w:space="0"/>
            </w:tcBorders>
            <w:vAlign w:val="center"/>
          </w:tcPr>
          <w:p w14:paraId="065EB01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1780" w:type="dxa"/>
            <w:tcBorders>
              <w:top w:val="single" w:color="auto" w:sz="4" w:space="0"/>
              <w:left w:val="single" w:color="000000" w:sz="2" w:space="0"/>
              <w:bottom w:val="single" w:color="auto" w:sz="4" w:space="0"/>
              <w:right w:val="single" w:color="auto" w:sz="4" w:space="0"/>
            </w:tcBorders>
            <w:tcMar>
              <w:top w:w="0" w:type="dxa"/>
              <w:left w:w="28" w:type="dxa"/>
              <w:bottom w:w="0" w:type="dxa"/>
              <w:right w:w="28" w:type="dxa"/>
            </w:tcMar>
            <w:vAlign w:val="center"/>
          </w:tcPr>
          <w:p w14:paraId="7996DF4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241412542B04</w:t>
            </w:r>
          </w:p>
        </w:tc>
        <w:tc>
          <w:tcPr>
            <w:tcW w:w="236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2C01E24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val="zh-CN"/>
                <w14:textFill>
                  <w14:solidFill>
                    <w14:schemeClr w14:val="tx1"/>
                  </w14:solidFill>
                </w14:textFill>
              </w:rPr>
              <w:t>旅游目的地开发与管理</w:t>
            </w:r>
          </w:p>
        </w:tc>
        <w:tc>
          <w:tcPr>
            <w:tcW w:w="62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5F53362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r>
              <w:rPr>
                <w:rFonts w:hint="eastAsia" w:ascii="Times New Roman" w:hAnsi="Times New Roman" w:eastAsia="仿宋" w:cs="Times New Roman"/>
                <w:b w:val="0"/>
                <w:bCs w:val="0"/>
                <w:color w:val="000000" w:themeColor="text1"/>
                <w:sz w:val="24"/>
                <w:szCs w:val="24"/>
                <w14:textFill>
                  <w14:solidFill>
                    <w14:schemeClr w14:val="tx1"/>
                  </w14:solidFill>
                </w14:textFill>
              </w:rPr>
              <w:t>3</w:t>
            </w:r>
            <w:r>
              <w:rPr>
                <w:rFonts w:ascii="Times New Roman" w:hAnsi="Times New Roman" w:eastAsia="仿宋" w:cs="Times New Roman"/>
                <w:b w:val="0"/>
                <w:bCs w:val="0"/>
                <w:color w:val="000000" w:themeColor="text1"/>
                <w:sz w:val="24"/>
                <w:szCs w:val="24"/>
                <w14:textFill>
                  <w14:solidFill>
                    <w14:schemeClr w14:val="tx1"/>
                  </w14:solidFill>
                </w14:textFill>
              </w:rPr>
              <w:t>2</w:t>
            </w:r>
          </w:p>
        </w:tc>
        <w:tc>
          <w:tcPr>
            <w:tcW w:w="54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165261D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val="zh-CN"/>
                <w14:textFill>
                  <w14:solidFill>
                    <w14:schemeClr w14:val="tx1"/>
                  </w14:solidFill>
                </w14:textFill>
              </w:rPr>
              <w:t>2</w:t>
            </w:r>
          </w:p>
        </w:tc>
        <w:tc>
          <w:tcPr>
            <w:tcW w:w="107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718175B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秋季</w:t>
            </w:r>
          </w:p>
        </w:tc>
        <w:tc>
          <w:tcPr>
            <w:tcW w:w="170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0E8DAED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公共管理与人文地理学院</w:t>
            </w:r>
          </w:p>
        </w:tc>
        <w:tc>
          <w:tcPr>
            <w:tcW w:w="843" w:type="dxa"/>
            <w:vMerge w:val="restar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C7870C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学科专业核心课程</w:t>
            </w:r>
          </w:p>
        </w:tc>
      </w:tr>
      <w:tr w14:paraId="03C31854">
        <w:tblPrEx>
          <w:tblCellMar>
            <w:top w:w="0" w:type="dxa"/>
            <w:left w:w="0" w:type="dxa"/>
            <w:bottom w:w="0" w:type="dxa"/>
            <w:right w:w="0" w:type="dxa"/>
          </w:tblCellMar>
        </w:tblPrEx>
        <w:trPr>
          <w:trHeight w:val="400" w:hRule="atLeast"/>
          <w:jc w:val="center"/>
        </w:trPr>
        <w:tc>
          <w:tcPr>
            <w:tcW w:w="526" w:type="dxa"/>
            <w:vMerge w:val="continue"/>
            <w:tcBorders>
              <w:left w:val="single" w:color="000000" w:sz="2" w:space="0"/>
              <w:right w:val="single" w:color="000000" w:sz="2" w:space="0"/>
            </w:tcBorders>
            <w:vAlign w:val="center"/>
          </w:tcPr>
          <w:p w14:paraId="4CC5BE0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590" w:type="dxa"/>
            <w:vMerge w:val="continue"/>
            <w:tcBorders>
              <w:top w:val="single" w:color="auto" w:sz="4" w:space="0"/>
              <w:left w:val="single" w:color="000000" w:sz="2" w:space="0"/>
              <w:bottom w:val="single" w:color="auto" w:sz="4" w:space="0"/>
              <w:right w:val="single" w:color="000000" w:sz="2" w:space="0"/>
            </w:tcBorders>
            <w:vAlign w:val="center"/>
          </w:tcPr>
          <w:p w14:paraId="5918ACB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1780" w:type="dxa"/>
            <w:tcBorders>
              <w:top w:val="single" w:color="auto" w:sz="4" w:space="0"/>
              <w:left w:val="single" w:color="000000" w:sz="2" w:space="0"/>
              <w:bottom w:val="single" w:color="auto" w:sz="4" w:space="0"/>
              <w:right w:val="single" w:color="auto" w:sz="4" w:space="0"/>
            </w:tcBorders>
            <w:tcMar>
              <w:top w:w="0" w:type="dxa"/>
              <w:left w:w="28" w:type="dxa"/>
              <w:bottom w:w="0" w:type="dxa"/>
              <w:right w:w="28" w:type="dxa"/>
            </w:tcMar>
            <w:vAlign w:val="center"/>
          </w:tcPr>
          <w:p w14:paraId="22A7114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241412542B05</w:t>
            </w:r>
          </w:p>
        </w:tc>
        <w:tc>
          <w:tcPr>
            <w:tcW w:w="236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7E4F4D2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val="zh-CN"/>
                <w14:textFill>
                  <w14:solidFill>
                    <w14:schemeClr w14:val="tx1"/>
                  </w14:solidFill>
                </w14:textFill>
              </w:rPr>
              <w:t>旅游规划与战略</w:t>
            </w:r>
          </w:p>
        </w:tc>
        <w:tc>
          <w:tcPr>
            <w:tcW w:w="62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434FA20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r>
              <w:rPr>
                <w:rFonts w:hint="eastAsia" w:ascii="Times New Roman" w:hAnsi="Times New Roman" w:eastAsia="仿宋" w:cs="Times New Roman"/>
                <w:b w:val="0"/>
                <w:bCs w:val="0"/>
                <w:color w:val="000000" w:themeColor="text1"/>
                <w:sz w:val="24"/>
                <w:szCs w:val="24"/>
                <w14:textFill>
                  <w14:solidFill>
                    <w14:schemeClr w14:val="tx1"/>
                  </w14:solidFill>
                </w14:textFill>
              </w:rPr>
              <w:t>3</w:t>
            </w:r>
            <w:r>
              <w:rPr>
                <w:rFonts w:ascii="Times New Roman" w:hAnsi="Times New Roman" w:eastAsia="仿宋" w:cs="Times New Roman"/>
                <w:b w:val="0"/>
                <w:bCs w:val="0"/>
                <w:color w:val="000000" w:themeColor="text1"/>
                <w:sz w:val="24"/>
                <w:szCs w:val="24"/>
                <w14:textFill>
                  <w14:solidFill>
                    <w14:schemeClr w14:val="tx1"/>
                  </w14:solidFill>
                </w14:textFill>
              </w:rPr>
              <w:t>2</w:t>
            </w:r>
          </w:p>
        </w:tc>
        <w:tc>
          <w:tcPr>
            <w:tcW w:w="54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1074CF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val="zh-CN"/>
                <w14:textFill>
                  <w14:solidFill>
                    <w14:schemeClr w14:val="tx1"/>
                  </w14:solidFill>
                </w14:textFill>
              </w:rPr>
              <w:t>2</w:t>
            </w:r>
          </w:p>
        </w:tc>
        <w:tc>
          <w:tcPr>
            <w:tcW w:w="107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7021886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秋季</w:t>
            </w:r>
          </w:p>
        </w:tc>
        <w:tc>
          <w:tcPr>
            <w:tcW w:w="170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517BF43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公共管理与人文地理学院</w:t>
            </w:r>
          </w:p>
        </w:tc>
        <w:tc>
          <w:tcPr>
            <w:tcW w:w="843" w:type="dxa"/>
            <w:vMerge w:val="continue"/>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1B54155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p>
        </w:tc>
      </w:tr>
      <w:tr w14:paraId="469130D1">
        <w:tblPrEx>
          <w:tblCellMar>
            <w:top w:w="0" w:type="dxa"/>
            <w:left w:w="0" w:type="dxa"/>
            <w:bottom w:w="0" w:type="dxa"/>
            <w:right w:w="0" w:type="dxa"/>
          </w:tblCellMar>
        </w:tblPrEx>
        <w:trPr>
          <w:trHeight w:val="400" w:hRule="atLeast"/>
          <w:jc w:val="center"/>
        </w:trPr>
        <w:tc>
          <w:tcPr>
            <w:tcW w:w="526" w:type="dxa"/>
            <w:vMerge w:val="continue"/>
            <w:tcBorders>
              <w:left w:val="single" w:color="000000" w:sz="2" w:space="0"/>
              <w:right w:val="single" w:color="000000" w:sz="2" w:space="0"/>
            </w:tcBorders>
            <w:vAlign w:val="center"/>
          </w:tcPr>
          <w:p w14:paraId="6E88F5B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590" w:type="dxa"/>
            <w:vMerge w:val="continue"/>
            <w:tcBorders>
              <w:top w:val="single" w:color="auto" w:sz="4" w:space="0"/>
              <w:left w:val="single" w:color="000000" w:sz="2" w:space="0"/>
              <w:bottom w:val="single" w:color="auto" w:sz="4" w:space="0"/>
              <w:right w:val="single" w:color="000000" w:sz="2" w:space="0"/>
            </w:tcBorders>
            <w:vAlign w:val="center"/>
          </w:tcPr>
          <w:p w14:paraId="1746D42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1780" w:type="dxa"/>
            <w:tcBorders>
              <w:top w:val="single" w:color="auto" w:sz="4" w:space="0"/>
              <w:left w:val="single" w:color="000000" w:sz="2" w:space="0"/>
              <w:bottom w:val="single" w:color="auto" w:sz="4" w:space="0"/>
              <w:right w:val="single" w:color="auto" w:sz="4" w:space="0"/>
            </w:tcBorders>
            <w:tcMar>
              <w:top w:w="0" w:type="dxa"/>
              <w:left w:w="28" w:type="dxa"/>
              <w:bottom w:w="0" w:type="dxa"/>
              <w:right w:w="28" w:type="dxa"/>
            </w:tcMar>
            <w:vAlign w:val="center"/>
          </w:tcPr>
          <w:p w14:paraId="1345CD6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241412542B06</w:t>
            </w:r>
          </w:p>
        </w:tc>
        <w:tc>
          <w:tcPr>
            <w:tcW w:w="236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77E5140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val="zh-CN"/>
                <w14:textFill>
                  <w14:solidFill>
                    <w14:schemeClr w14:val="tx1"/>
                  </w14:solidFill>
                </w14:textFill>
              </w:rPr>
              <w:t>服务管理</w:t>
            </w:r>
          </w:p>
        </w:tc>
        <w:tc>
          <w:tcPr>
            <w:tcW w:w="62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2A3EFC5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hint="eastAsia" w:ascii="Times New Roman" w:hAnsi="Times New Roman" w:eastAsia="仿宋" w:cs="Times New Roman"/>
                <w:b w:val="0"/>
                <w:bCs w:val="0"/>
                <w:color w:val="000000" w:themeColor="text1"/>
                <w:sz w:val="24"/>
                <w:szCs w:val="24"/>
                <w14:textFill>
                  <w14:solidFill>
                    <w14:schemeClr w14:val="tx1"/>
                  </w14:solidFill>
                </w14:textFill>
              </w:rPr>
              <w:t>3</w:t>
            </w:r>
            <w:r>
              <w:rPr>
                <w:rFonts w:ascii="Times New Roman" w:hAnsi="Times New Roman" w:eastAsia="仿宋" w:cs="Times New Roman"/>
                <w:b w:val="0"/>
                <w:bCs w:val="0"/>
                <w:color w:val="000000" w:themeColor="text1"/>
                <w:sz w:val="24"/>
                <w:szCs w:val="24"/>
                <w14:textFill>
                  <w14:solidFill>
                    <w14:schemeClr w14:val="tx1"/>
                  </w14:solidFill>
                </w14:textFill>
              </w:rPr>
              <w:t>2</w:t>
            </w:r>
          </w:p>
        </w:tc>
        <w:tc>
          <w:tcPr>
            <w:tcW w:w="54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4D6318F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val="zh-CN"/>
                <w14:textFill>
                  <w14:solidFill>
                    <w14:schemeClr w14:val="tx1"/>
                  </w14:solidFill>
                </w14:textFill>
              </w:rPr>
              <w:t>2</w:t>
            </w:r>
          </w:p>
        </w:tc>
        <w:tc>
          <w:tcPr>
            <w:tcW w:w="107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DC20F5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秋季</w:t>
            </w:r>
          </w:p>
        </w:tc>
        <w:tc>
          <w:tcPr>
            <w:tcW w:w="170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48D2E18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公共管理与人文地理学院</w:t>
            </w:r>
          </w:p>
        </w:tc>
        <w:tc>
          <w:tcPr>
            <w:tcW w:w="843" w:type="dxa"/>
            <w:vMerge w:val="continue"/>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5D23EEE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p>
        </w:tc>
      </w:tr>
      <w:tr w14:paraId="35111062">
        <w:tblPrEx>
          <w:tblCellMar>
            <w:top w:w="0" w:type="dxa"/>
            <w:left w:w="0" w:type="dxa"/>
            <w:bottom w:w="0" w:type="dxa"/>
            <w:right w:w="0" w:type="dxa"/>
          </w:tblCellMar>
        </w:tblPrEx>
        <w:trPr>
          <w:trHeight w:val="400" w:hRule="atLeast"/>
          <w:jc w:val="center"/>
        </w:trPr>
        <w:tc>
          <w:tcPr>
            <w:tcW w:w="526" w:type="dxa"/>
            <w:vMerge w:val="continue"/>
            <w:tcBorders>
              <w:left w:val="single" w:color="000000" w:sz="2" w:space="0"/>
              <w:right w:val="single" w:color="000000" w:sz="2" w:space="0"/>
            </w:tcBorders>
            <w:vAlign w:val="center"/>
          </w:tcPr>
          <w:p w14:paraId="4B0AA96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590" w:type="dxa"/>
            <w:vMerge w:val="continue"/>
            <w:tcBorders>
              <w:top w:val="single" w:color="auto" w:sz="4" w:space="0"/>
              <w:left w:val="single" w:color="000000" w:sz="2" w:space="0"/>
              <w:bottom w:val="single" w:color="auto" w:sz="4" w:space="0"/>
              <w:right w:val="single" w:color="000000" w:sz="2" w:space="0"/>
            </w:tcBorders>
            <w:vAlign w:val="center"/>
          </w:tcPr>
          <w:p w14:paraId="7311A85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1780" w:type="dxa"/>
            <w:tcBorders>
              <w:top w:val="single" w:color="auto" w:sz="4" w:space="0"/>
              <w:left w:val="single" w:color="000000" w:sz="2" w:space="0"/>
              <w:bottom w:val="single" w:color="auto" w:sz="4" w:space="0"/>
              <w:right w:val="single" w:color="auto" w:sz="4" w:space="0"/>
            </w:tcBorders>
            <w:tcMar>
              <w:top w:w="0" w:type="dxa"/>
              <w:left w:w="28" w:type="dxa"/>
              <w:bottom w:w="0" w:type="dxa"/>
              <w:right w:w="28" w:type="dxa"/>
            </w:tcMar>
            <w:vAlign w:val="center"/>
          </w:tcPr>
          <w:p w14:paraId="0773D5D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241412542B07</w:t>
            </w:r>
          </w:p>
        </w:tc>
        <w:tc>
          <w:tcPr>
            <w:tcW w:w="236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01E06B6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val="zh-CN"/>
                <w14:textFill>
                  <w14:solidFill>
                    <w14:schemeClr w14:val="tx1"/>
                  </w14:solidFill>
                </w14:textFill>
              </w:rPr>
              <w:t>旅游产业经济分析</w:t>
            </w:r>
          </w:p>
        </w:tc>
        <w:tc>
          <w:tcPr>
            <w:tcW w:w="62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198552B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r>
              <w:rPr>
                <w:rFonts w:hint="eastAsia" w:ascii="Times New Roman" w:hAnsi="Times New Roman" w:eastAsia="仿宋" w:cs="Times New Roman"/>
                <w:b w:val="0"/>
                <w:bCs w:val="0"/>
                <w:color w:val="000000" w:themeColor="text1"/>
                <w:sz w:val="24"/>
                <w:szCs w:val="24"/>
                <w14:textFill>
                  <w14:solidFill>
                    <w14:schemeClr w14:val="tx1"/>
                  </w14:solidFill>
                </w14:textFill>
              </w:rPr>
              <w:t>3</w:t>
            </w:r>
            <w:r>
              <w:rPr>
                <w:rFonts w:ascii="Times New Roman" w:hAnsi="Times New Roman" w:eastAsia="仿宋" w:cs="Times New Roman"/>
                <w:b w:val="0"/>
                <w:bCs w:val="0"/>
                <w:color w:val="000000" w:themeColor="text1"/>
                <w:sz w:val="24"/>
                <w:szCs w:val="24"/>
                <w14:textFill>
                  <w14:solidFill>
                    <w14:schemeClr w14:val="tx1"/>
                  </w14:solidFill>
                </w14:textFill>
              </w:rPr>
              <w:t>2</w:t>
            </w:r>
          </w:p>
        </w:tc>
        <w:tc>
          <w:tcPr>
            <w:tcW w:w="54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2AC4145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val="zh-CN"/>
                <w14:textFill>
                  <w14:solidFill>
                    <w14:schemeClr w14:val="tx1"/>
                  </w14:solidFill>
                </w14:textFill>
              </w:rPr>
              <w:t>2</w:t>
            </w:r>
          </w:p>
        </w:tc>
        <w:tc>
          <w:tcPr>
            <w:tcW w:w="107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F4C81B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秋季</w:t>
            </w:r>
          </w:p>
        </w:tc>
        <w:tc>
          <w:tcPr>
            <w:tcW w:w="170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7518B02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公共管理与人文地理学院</w:t>
            </w:r>
          </w:p>
        </w:tc>
        <w:tc>
          <w:tcPr>
            <w:tcW w:w="843" w:type="dxa"/>
            <w:vMerge w:val="continue"/>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4F2AB93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p>
        </w:tc>
      </w:tr>
      <w:tr w14:paraId="7D6F94FF">
        <w:tblPrEx>
          <w:tblCellMar>
            <w:top w:w="0" w:type="dxa"/>
            <w:left w:w="0" w:type="dxa"/>
            <w:bottom w:w="0" w:type="dxa"/>
            <w:right w:w="0" w:type="dxa"/>
          </w:tblCellMar>
        </w:tblPrEx>
        <w:trPr>
          <w:trHeight w:val="400" w:hRule="atLeast"/>
          <w:jc w:val="center"/>
        </w:trPr>
        <w:tc>
          <w:tcPr>
            <w:tcW w:w="526" w:type="dxa"/>
            <w:vMerge w:val="continue"/>
            <w:tcBorders>
              <w:left w:val="single" w:color="000000" w:sz="2" w:space="0"/>
              <w:right w:val="single" w:color="000000" w:sz="2" w:space="0"/>
            </w:tcBorders>
            <w:vAlign w:val="center"/>
          </w:tcPr>
          <w:p w14:paraId="6AAE546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590" w:type="dxa"/>
            <w:vMerge w:val="continue"/>
            <w:tcBorders>
              <w:top w:val="single" w:color="auto" w:sz="4" w:space="0"/>
              <w:left w:val="single" w:color="000000" w:sz="2" w:space="0"/>
              <w:bottom w:val="single" w:color="auto" w:sz="4" w:space="0"/>
              <w:right w:val="single" w:color="000000" w:sz="2" w:space="0"/>
            </w:tcBorders>
            <w:vAlign w:val="center"/>
          </w:tcPr>
          <w:p w14:paraId="3CE97E6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1780" w:type="dxa"/>
            <w:tcBorders>
              <w:top w:val="single" w:color="auto" w:sz="4" w:space="0"/>
              <w:left w:val="single" w:color="000000" w:sz="2" w:space="0"/>
              <w:bottom w:val="single" w:color="000000" w:sz="2" w:space="0"/>
              <w:right w:val="single" w:color="auto" w:sz="4" w:space="0"/>
            </w:tcBorders>
            <w:tcMar>
              <w:top w:w="0" w:type="dxa"/>
              <w:left w:w="28" w:type="dxa"/>
              <w:bottom w:w="0" w:type="dxa"/>
              <w:right w:w="28" w:type="dxa"/>
            </w:tcMar>
            <w:vAlign w:val="center"/>
          </w:tcPr>
          <w:p w14:paraId="64A27CE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241412542B08</w:t>
            </w:r>
          </w:p>
        </w:tc>
        <w:tc>
          <w:tcPr>
            <w:tcW w:w="236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489F453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val="zh-CN"/>
                <w14:textFill>
                  <w14:solidFill>
                    <w14:schemeClr w14:val="tx1"/>
                  </w14:solidFill>
                </w14:textFill>
              </w:rPr>
              <w:t>旅游营销</w:t>
            </w:r>
          </w:p>
        </w:tc>
        <w:tc>
          <w:tcPr>
            <w:tcW w:w="62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212F6D3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hint="eastAsia" w:ascii="Times New Roman" w:hAnsi="Times New Roman" w:eastAsia="仿宋" w:cs="Times New Roman"/>
                <w:b w:val="0"/>
                <w:bCs w:val="0"/>
                <w:color w:val="000000" w:themeColor="text1"/>
                <w:sz w:val="24"/>
                <w:szCs w:val="24"/>
                <w14:textFill>
                  <w14:solidFill>
                    <w14:schemeClr w14:val="tx1"/>
                  </w14:solidFill>
                </w14:textFill>
              </w:rPr>
              <w:t>3</w:t>
            </w:r>
            <w:r>
              <w:rPr>
                <w:rFonts w:ascii="Times New Roman" w:hAnsi="Times New Roman" w:eastAsia="仿宋" w:cs="Times New Roman"/>
                <w:b w:val="0"/>
                <w:bCs w:val="0"/>
                <w:color w:val="000000" w:themeColor="text1"/>
                <w:sz w:val="24"/>
                <w:szCs w:val="24"/>
                <w14:textFill>
                  <w14:solidFill>
                    <w14:schemeClr w14:val="tx1"/>
                  </w14:solidFill>
                </w14:textFill>
              </w:rPr>
              <w:t>2</w:t>
            </w:r>
          </w:p>
        </w:tc>
        <w:tc>
          <w:tcPr>
            <w:tcW w:w="54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37E3BE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val="zh-CN"/>
                <w14:textFill>
                  <w14:solidFill>
                    <w14:schemeClr w14:val="tx1"/>
                  </w14:solidFill>
                </w14:textFill>
              </w:rPr>
              <w:t>2</w:t>
            </w:r>
          </w:p>
        </w:tc>
        <w:tc>
          <w:tcPr>
            <w:tcW w:w="107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0CCC49E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秋季</w:t>
            </w:r>
          </w:p>
        </w:tc>
        <w:tc>
          <w:tcPr>
            <w:tcW w:w="170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143D20D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公共管理与人文地理学院</w:t>
            </w:r>
          </w:p>
        </w:tc>
        <w:tc>
          <w:tcPr>
            <w:tcW w:w="843" w:type="dxa"/>
            <w:vMerge w:val="continue"/>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0821380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p>
        </w:tc>
      </w:tr>
      <w:tr w14:paraId="378EEDEE">
        <w:tblPrEx>
          <w:tblCellMar>
            <w:top w:w="0" w:type="dxa"/>
            <w:left w:w="0" w:type="dxa"/>
            <w:bottom w:w="0" w:type="dxa"/>
            <w:right w:w="0" w:type="dxa"/>
          </w:tblCellMar>
        </w:tblPrEx>
        <w:trPr>
          <w:trHeight w:val="400" w:hRule="atLeast"/>
          <w:jc w:val="center"/>
        </w:trPr>
        <w:tc>
          <w:tcPr>
            <w:tcW w:w="526" w:type="dxa"/>
            <w:vMerge w:val="continue"/>
            <w:tcBorders>
              <w:left w:val="single" w:color="000000" w:sz="2" w:space="0"/>
              <w:right w:val="single" w:color="000000" w:sz="2" w:space="0"/>
            </w:tcBorders>
            <w:vAlign w:val="center"/>
          </w:tcPr>
          <w:p w14:paraId="3CB3F1C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590" w:type="dxa"/>
            <w:vMerge w:val="continue"/>
            <w:tcBorders>
              <w:top w:val="single" w:color="auto" w:sz="4" w:space="0"/>
              <w:left w:val="single" w:color="000000" w:sz="2" w:space="0"/>
              <w:bottom w:val="single" w:color="auto" w:sz="4" w:space="0"/>
              <w:right w:val="single" w:color="000000" w:sz="2" w:space="0"/>
            </w:tcBorders>
            <w:vAlign w:val="center"/>
          </w:tcPr>
          <w:p w14:paraId="5E4F0B9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1780" w:type="dxa"/>
            <w:tcBorders>
              <w:top w:val="single" w:color="000000" w:sz="2" w:space="0"/>
              <w:left w:val="single" w:color="000000" w:sz="2" w:space="0"/>
              <w:bottom w:val="single" w:color="000000" w:sz="2" w:space="0"/>
              <w:right w:val="single" w:color="auto" w:sz="4" w:space="0"/>
            </w:tcBorders>
            <w:tcMar>
              <w:top w:w="0" w:type="dxa"/>
              <w:left w:w="28" w:type="dxa"/>
              <w:bottom w:w="0" w:type="dxa"/>
              <w:right w:w="28" w:type="dxa"/>
            </w:tcMar>
            <w:vAlign w:val="center"/>
          </w:tcPr>
          <w:p w14:paraId="197BEDA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241412542B09</w:t>
            </w:r>
          </w:p>
        </w:tc>
        <w:tc>
          <w:tcPr>
            <w:tcW w:w="236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4259050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val="zh-CN"/>
                <w14:textFill>
                  <w14:solidFill>
                    <w14:schemeClr w14:val="tx1"/>
                  </w14:solidFill>
                </w14:textFill>
              </w:rPr>
              <w:t>旅游投资与财务管理</w:t>
            </w:r>
          </w:p>
        </w:tc>
        <w:tc>
          <w:tcPr>
            <w:tcW w:w="62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C236DF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hint="eastAsia" w:ascii="Times New Roman" w:hAnsi="Times New Roman" w:eastAsia="仿宋" w:cs="Times New Roman"/>
                <w:b w:val="0"/>
                <w:bCs w:val="0"/>
                <w:color w:val="000000" w:themeColor="text1"/>
                <w:sz w:val="24"/>
                <w:szCs w:val="24"/>
                <w14:textFill>
                  <w14:solidFill>
                    <w14:schemeClr w14:val="tx1"/>
                  </w14:solidFill>
                </w14:textFill>
              </w:rPr>
              <w:t>3</w:t>
            </w:r>
            <w:r>
              <w:rPr>
                <w:rFonts w:ascii="Times New Roman" w:hAnsi="Times New Roman" w:eastAsia="仿宋" w:cs="Times New Roman"/>
                <w:b w:val="0"/>
                <w:bCs w:val="0"/>
                <w:color w:val="000000" w:themeColor="text1"/>
                <w:sz w:val="24"/>
                <w:szCs w:val="24"/>
                <w14:textFill>
                  <w14:solidFill>
                    <w14:schemeClr w14:val="tx1"/>
                  </w14:solidFill>
                </w14:textFill>
              </w:rPr>
              <w:t>2</w:t>
            </w:r>
          </w:p>
        </w:tc>
        <w:tc>
          <w:tcPr>
            <w:tcW w:w="54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263F211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val="zh-CN"/>
                <w14:textFill>
                  <w14:solidFill>
                    <w14:schemeClr w14:val="tx1"/>
                  </w14:solidFill>
                </w14:textFill>
              </w:rPr>
              <w:t>2</w:t>
            </w:r>
          </w:p>
        </w:tc>
        <w:tc>
          <w:tcPr>
            <w:tcW w:w="107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5EE5EA7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春季</w:t>
            </w:r>
          </w:p>
        </w:tc>
        <w:tc>
          <w:tcPr>
            <w:tcW w:w="170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55FBE8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公共管理与人文地理学院</w:t>
            </w:r>
          </w:p>
        </w:tc>
        <w:tc>
          <w:tcPr>
            <w:tcW w:w="843" w:type="dxa"/>
            <w:vMerge w:val="continue"/>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51D13D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p>
        </w:tc>
      </w:tr>
      <w:tr w14:paraId="5DC8C52F">
        <w:tblPrEx>
          <w:tblCellMar>
            <w:top w:w="0" w:type="dxa"/>
            <w:left w:w="0" w:type="dxa"/>
            <w:bottom w:w="0" w:type="dxa"/>
            <w:right w:w="0" w:type="dxa"/>
          </w:tblCellMar>
        </w:tblPrEx>
        <w:trPr>
          <w:trHeight w:val="400" w:hRule="atLeast"/>
          <w:jc w:val="center"/>
        </w:trPr>
        <w:tc>
          <w:tcPr>
            <w:tcW w:w="526" w:type="dxa"/>
            <w:vMerge w:val="continue"/>
            <w:tcBorders>
              <w:left w:val="single" w:color="000000" w:sz="2" w:space="0"/>
              <w:right w:val="single" w:color="000000" w:sz="2" w:space="0"/>
            </w:tcBorders>
            <w:vAlign w:val="center"/>
          </w:tcPr>
          <w:p w14:paraId="014AA09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590" w:type="dxa"/>
            <w:vMerge w:val="continue"/>
            <w:tcBorders>
              <w:top w:val="single" w:color="auto" w:sz="4" w:space="0"/>
              <w:left w:val="single" w:color="000000" w:sz="2" w:space="0"/>
              <w:bottom w:val="single" w:color="auto" w:sz="4" w:space="0"/>
              <w:right w:val="single" w:color="000000" w:sz="2" w:space="0"/>
            </w:tcBorders>
            <w:vAlign w:val="center"/>
          </w:tcPr>
          <w:p w14:paraId="26FFDEF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1780" w:type="dxa"/>
            <w:tcBorders>
              <w:top w:val="single" w:color="000000" w:sz="2" w:space="0"/>
              <w:left w:val="single" w:color="000000" w:sz="2" w:space="0"/>
              <w:bottom w:val="single" w:color="000000" w:sz="2" w:space="0"/>
              <w:right w:val="single" w:color="auto" w:sz="4" w:space="0"/>
            </w:tcBorders>
            <w:tcMar>
              <w:top w:w="0" w:type="dxa"/>
              <w:left w:w="28" w:type="dxa"/>
              <w:bottom w:w="0" w:type="dxa"/>
              <w:right w:w="28" w:type="dxa"/>
            </w:tcMar>
            <w:vAlign w:val="center"/>
          </w:tcPr>
          <w:p w14:paraId="41191A8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241412542B10</w:t>
            </w:r>
          </w:p>
        </w:tc>
        <w:tc>
          <w:tcPr>
            <w:tcW w:w="236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7B1B4A8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val="zh-CN"/>
                <w14:textFill>
                  <w14:solidFill>
                    <w14:schemeClr w14:val="tx1"/>
                  </w14:solidFill>
                </w14:textFill>
              </w:rPr>
              <w:t>旅游信息系统</w:t>
            </w:r>
          </w:p>
        </w:tc>
        <w:tc>
          <w:tcPr>
            <w:tcW w:w="62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106F5E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hint="eastAsia" w:ascii="Times New Roman" w:hAnsi="Times New Roman" w:eastAsia="仿宋" w:cs="Times New Roman"/>
                <w:b w:val="0"/>
                <w:bCs w:val="0"/>
                <w:color w:val="000000" w:themeColor="text1"/>
                <w:sz w:val="24"/>
                <w:szCs w:val="24"/>
                <w14:textFill>
                  <w14:solidFill>
                    <w14:schemeClr w14:val="tx1"/>
                  </w14:solidFill>
                </w14:textFill>
              </w:rPr>
              <w:t>3</w:t>
            </w:r>
            <w:r>
              <w:rPr>
                <w:rFonts w:ascii="Times New Roman" w:hAnsi="Times New Roman" w:eastAsia="仿宋" w:cs="Times New Roman"/>
                <w:b w:val="0"/>
                <w:bCs w:val="0"/>
                <w:color w:val="000000" w:themeColor="text1"/>
                <w:sz w:val="24"/>
                <w:szCs w:val="24"/>
                <w14:textFill>
                  <w14:solidFill>
                    <w14:schemeClr w14:val="tx1"/>
                  </w14:solidFill>
                </w14:textFill>
              </w:rPr>
              <w:t>2</w:t>
            </w:r>
          </w:p>
        </w:tc>
        <w:tc>
          <w:tcPr>
            <w:tcW w:w="54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314AF9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2</w:t>
            </w:r>
          </w:p>
        </w:tc>
        <w:tc>
          <w:tcPr>
            <w:tcW w:w="107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2BA19D7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春季</w:t>
            </w:r>
          </w:p>
        </w:tc>
        <w:tc>
          <w:tcPr>
            <w:tcW w:w="170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72235F2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公共管理与人文地理学院</w:t>
            </w:r>
          </w:p>
        </w:tc>
        <w:tc>
          <w:tcPr>
            <w:tcW w:w="843" w:type="dxa"/>
            <w:vMerge w:val="continue"/>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52067BD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p>
        </w:tc>
      </w:tr>
      <w:tr w14:paraId="7C503D9D">
        <w:tblPrEx>
          <w:tblCellMar>
            <w:top w:w="0" w:type="dxa"/>
            <w:left w:w="0" w:type="dxa"/>
            <w:bottom w:w="0" w:type="dxa"/>
            <w:right w:w="0" w:type="dxa"/>
          </w:tblCellMar>
        </w:tblPrEx>
        <w:trPr>
          <w:trHeight w:val="400" w:hRule="atLeast"/>
          <w:jc w:val="center"/>
        </w:trPr>
        <w:tc>
          <w:tcPr>
            <w:tcW w:w="526" w:type="dxa"/>
            <w:vMerge w:val="continue"/>
            <w:tcBorders>
              <w:left w:val="single" w:color="000000" w:sz="2" w:space="0"/>
              <w:bottom w:val="single" w:color="auto" w:sz="4" w:space="0"/>
              <w:right w:val="single" w:color="000000" w:sz="2" w:space="0"/>
            </w:tcBorders>
            <w:vAlign w:val="center"/>
          </w:tcPr>
          <w:p w14:paraId="7A41881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590" w:type="dxa"/>
            <w:vMerge w:val="continue"/>
            <w:tcBorders>
              <w:top w:val="single" w:color="auto" w:sz="4" w:space="0"/>
              <w:left w:val="single" w:color="000000" w:sz="2" w:space="0"/>
              <w:bottom w:val="single" w:color="auto" w:sz="4" w:space="0"/>
              <w:right w:val="single" w:color="auto" w:sz="4" w:space="0"/>
            </w:tcBorders>
            <w:vAlign w:val="center"/>
          </w:tcPr>
          <w:p w14:paraId="3F0FE44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4140"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5FB4671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bCs/>
                <w:color w:val="000000" w:themeColor="text1"/>
                <w:sz w:val="24"/>
                <w:szCs w:val="24"/>
                <w:lang w:val="zh-CN"/>
                <w14:textFill>
                  <w14:solidFill>
                    <w14:schemeClr w14:val="tx1"/>
                  </w14:solidFill>
                </w14:textFill>
              </w:rPr>
            </w:pPr>
            <w:r>
              <w:rPr>
                <w:rFonts w:ascii="Times New Roman" w:hAnsi="Times New Roman" w:eastAsia="仿宋" w:cs="Times New Roman"/>
                <w:b/>
                <w:bCs/>
                <w:color w:val="000000" w:themeColor="text1"/>
                <w:sz w:val="24"/>
                <w:szCs w:val="24"/>
                <w:lang w:val="zh-CN"/>
                <w14:textFill>
                  <w14:solidFill>
                    <w14:schemeClr w14:val="tx1"/>
                  </w14:solidFill>
                </w14:textFill>
              </w:rPr>
              <w:t>小计</w:t>
            </w:r>
          </w:p>
        </w:tc>
        <w:tc>
          <w:tcPr>
            <w:tcW w:w="62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26E45A5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r>
              <w:rPr>
                <w:rFonts w:hint="eastAsia" w:ascii="Times New Roman" w:hAnsi="Times New Roman" w:eastAsia="仿宋" w:cs="Times New Roman"/>
                <w:b/>
                <w:bCs/>
                <w:color w:val="000000" w:themeColor="text1"/>
                <w:sz w:val="24"/>
                <w:szCs w:val="24"/>
                <w14:textFill>
                  <w14:solidFill>
                    <w14:schemeClr w14:val="tx1"/>
                  </w14:solidFill>
                </w14:textFill>
              </w:rPr>
              <w:t>2</w:t>
            </w:r>
            <w:r>
              <w:rPr>
                <w:rFonts w:ascii="Times New Roman" w:hAnsi="Times New Roman" w:eastAsia="仿宋" w:cs="Times New Roman"/>
                <w:b/>
                <w:bCs/>
                <w:color w:val="000000" w:themeColor="text1"/>
                <w:sz w:val="24"/>
                <w:szCs w:val="24"/>
                <w14:textFill>
                  <w14:solidFill>
                    <w14:schemeClr w14:val="tx1"/>
                  </w14:solidFill>
                </w14:textFill>
              </w:rPr>
              <w:t>24</w:t>
            </w:r>
          </w:p>
        </w:tc>
        <w:tc>
          <w:tcPr>
            <w:tcW w:w="54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2169914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r>
              <w:rPr>
                <w:rFonts w:ascii="Times New Roman" w:hAnsi="Times New Roman" w:eastAsia="仿宋" w:cs="Times New Roman"/>
                <w:b/>
                <w:bCs/>
                <w:color w:val="000000" w:themeColor="text1"/>
                <w:sz w:val="24"/>
                <w:szCs w:val="24"/>
                <w14:textFill>
                  <w14:solidFill>
                    <w14:schemeClr w14:val="tx1"/>
                  </w14:solidFill>
                </w14:textFill>
              </w:rPr>
              <w:t>14</w:t>
            </w:r>
          </w:p>
        </w:tc>
        <w:tc>
          <w:tcPr>
            <w:tcW w:w="107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9F7C91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170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1EAE8F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p>
        </w:tc>
        <w:tc>
          <w:tcPr>
            <w:tcW w:w="84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0BF976D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p>
        </w:tc>
      </w:tr>
      <w:tr w14:paraId="6259CB6C">
        <w:tblPrEx>
          <w:tblCellMar>
            <w:top w:w="0" w:type="dxa"/>
            <w:left w:w="0" w:type="dxa"/>
            <w:bottom w:w="0" w:type="dxa"/>
            <w:right w:w="0" w:type="dxa"/>
          </w:tblCellMar>
        </w:tblPrEx>
        <w:trPr>
          <w:trHeight w:val="90" w:hRule="atLeast"/>
          <w:jc w:val="center"/>
        </w:trPr>
        <w:tc>
          <w:tcPr>
            <w:tcW w:w="526" w:type="dxa"/>
            <w:vMerge w:val="restart"/>
            <w:tcBorders>
              <w:top w:val="single" w:color="auto" w:sz="4" w:space="0"/>
              <w:left w:val="single" w:color="auto" w:sz="4" w:space="0"/>
              <w:right w:val="single" w:color="auto" w:sz="4" w:space="0"/>
            </w:tcBorders>
            <w:tcMar>
              <w:top w:w="0" w:type="dxa"/>
              <w:left w:w="28" w:type="dxa"/>
              <w:bottom w:w="0" w:type="dxa"/>
              <w:right w:w="28" w:type="dxa"/>
            </w:tcMar>
            <w:vAlign w:val="center"/>
          </w:tcPr>
          <w:p w14:paraId="6F0FF60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bCs/>
                <w:color w:val="000000" w:themeColor="text1"/>
                <w:sz w:val="24"/>
                <w:szCs w:val="24"/>
                <w:lang w:val="zh-CN" w:eastAsia="zh-CN"/>
                <w14:textFill>
                  <w14:solidFill>
                    <w14:schemeClr w14:val="tx1"/>
                  </w14:solidFill>
                </w14:textFill>
              </w:rPr>
            </w:pPr>
            <w:r>
              <w:rPr>
                <w:rFonts w:hint="eastAsia" w:ascii="Times New Roman" w:hAnsi="Times New Roman" w:eastAsia="仿宋" w:cs="Times New Roman"/>
                <w:b/>
                <w:bCs/>
                <w:color w:val="000000" w:themeColor="text1"/>
                <w:sz w:val="24"/>
                <w:szCs w:val="24"/>
                <w:lang w:val="zh-CN" w:eastAsia="zh-CN"/>
                <w14:textFill>
                  <w14:solidFill>
                    <w14:schemeClr w14:val="tx1"/>
                  </w14:solidFill>
                </w14:textFill>
              </w:rPr>
              <w:t>选</w:t>
            </w:r>
          </w:p>
          <w:p w14:paraId="3393FB9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bCs/>
                <w:color w:val="000000" w:themeColor="text1"/>
                <w:sz w:val="24"/>
                <w:szCs w:val="24"/>
                <w:lang w:val="zh-CN" w:eastAsia="zh-CN"/>
                <w14:textFill>
                  <w14:solidFill>
                    <w14:schemeClr w14:val="tx1"/>
                  </w14:solidFill>
                </w14:textFill>
              </w:rPr>
            </w:pPr>
          </w:p>
          <w:p w14:paraId="6ED9A6D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t>修</w:t>
            </w:r>
          </w:p>
          <w:p w14:paraId="2FD9CD5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bCs/>
                <w:color w:val="000000" w:themeColor="text1"/>
                <w:sz w:val="24"/>
                <w:szCs w:val="24"/>
                <w:lang w:val="zh-CN" w:eastAsia="zh-CN"/>
                <w14:textFill>
                  <w14:solidFill>
                    <w14:schemeClr w14:val="tx1"/>
                  </w14:solidFill>
                </w14:textFill>
              </w:rPr>
            </w:pPr>
          </w:p>
          <w:p w14:paraId="136D22D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bCs/>
                <w:color w:val="000000" w:themeColor="text1"/>
                <w:sz w:val="24"/>
                <w:szCs w:val="24"/>
                <w:lang w:val="zh-CN"/>
                <w14:textFill>
                  <w14:solidFill>
                    <w14:schemeClr w14:val="tx1"/>
                  </w14:solidFill>
                </w14:textFill>
              </w:rPr>
            </w:pPr>
            <w:r>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t>课</w:t>
            </w:r>
          </w:p>
          <w:p w14:paraId="2B578E5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bCs/>
                <w:color w:val="000000" w:themeColor="text1"/>
                <w:sz w:val="24"/>
                <w:szCs w:val="24"/>
                <w:lang w:val="zh-CN"/>
                <w14:textFill>
                  <w14:solidFill>
                    <w14:schemeClr w14:val="tx1"/>
                  </w14:solidFill>
                </w14:textFill>
              </w:rPr>
            </w:pPr>
          </w:p>
        </w:tc>
        <w:tc>
          <w:tcPr>
            <w:tcW w:w="590" w:type="dxa"/>
            <w:vMerge w:val="restar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149680E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Times New Roman" w:hAnsi="Times New Roman" w:eastAsia="仿宋" w:cs="Times New Roman"/>
                <w:b/>
                <w:bCs/>
                <w:color w:val="000000" w:themeColor="text1"/>
                <w:sz w:val="24"/>
                <w:szCs w:val="24"/>
                <w14:textFill>
                  <w14:solidFill>
                    <w14:schemeClr w14:val="tx1"/>
                  </w14:solidFill>
                </w14:textFill>
              </w:rPr>
            </w:pPr>
            <w:r>
              <w:rPr>
                <w:rFonts w:ascii="Times New Roman" w:hAnsi="Times New Roman" w:eastAsia="仿宋" w:cs="Times New Roman"/>
                <w:b/>
                <w:bCs/>
                <w:color w:val="000000" w:themeColor="text1"/>
                <w:sz w:val="24"/>
                <w:szCs w:val="24"/>
                <w14:textFill>
                  <w14:solidFill>
                    <w14:schemeClr w14:val="tx1"/>
                  </w14:solidFill>
                </w14:textFill>
              </w:rPr>
              <w:t>专</w:t>
            </w:r>
          </w:p>
          <w:p w14:paraId="713CCEC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Times New Roman" w:hAnsi="Times New Roman" w:eastAsia="仿宋" w:cs="Times New Roman"/>
                <w:b/>
                <w:bCs/>
                <w:color w:val="000000" w:themeColor="text1"/>
                <w:sz w:val="24"/>
                <w:szCs w:val="24"/>
                <w14:textFill>
                  <w14:solidFill>
                    <w14:schemeClr w14:val="tx1"/>
                  </w14:solidFill>
                </w14:textFill>
              </w:rPr>
            </w:pPr>
            <w:r>
              <w:rPr>
                <w:rFonts w:ascii="Times New Roman" w:hAnsi="Times New Roman" w:eastAsia="仿宋" w:cs="Times New Roman"/>
                <w:b/>
                <w:bCs/>
                <w:color w:val="000000" w:themeColor="text1"/>
                <w:sz w:val="24"/>
                <w:szCs w:val="24"/>
                <w14:textFill>
                  <w14:solidFill>
                    <w14:schemeClr w14:val="tx1"/>
                  </w14:solidFill>
                </w14:textFill>
              </w:rPr>
              <w:t>业</w:t>
            </w:r>
          </w:p>
          <w:p w14:paraId="6BA196D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Times New Roman" w:hAnsi="Times New Roman" w:eastAsia="仿宋" w:cs="Times New Roman"/>
                <w:b/>
                <w:bCs/>
                <w:color w:val="000000" w:themeColor="text1"/>
                <w:sz w:val="24"/>
                <w:szCs w:val="24"/>
                <w14:textFill>
                  <w14:solidFill>
                    <w14:schemeClr w14:val="tx1"/>
                  </w14:solidFill>
                </w14:textFill>
              </w:rPr>
            </w:pPr>
            <w:r>
              <w:rPr>
                <w:rFonts w:ascii="Times New Roman" w:hAnsi="Times New Roman" w:eastAsia="仿宋" w:cs="Times New Roman"/>
                <w:b/>
                <w:bCs/>
                <w:color w:val="000000" w:themeColor="text1"/>
                <w:sz w:val="24"/>
                <w:szCs w:val="24"/>
                <w14:textFill>
                  <w14:solidFill>
                    <w14:schemeClr w14:val="tx1"/>
                  </w14:solidFill>
                </w14:textFill>
              </w:rPr>
              <w:t>选</w:t>
            </w:r>
          </w:p>
          <w:p w14:paraId="63F187F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Times New Roman" w:hAnsi="Times New Roman" w:eastAsia="仿宋" w:cs="Times New Roman"/>
                <w:b/>
                <w:bCs/>
                <w:color w:val="000000" w:themeColor="text1"/>
                <w:sz w:val="24"/>
                <w:szCs w:val="24"/>
                <w14:textFill>
                  <w14:solidFill>
                    <w14:schemeClr w14:val="tx1"/>
                  </w14:solidFill>
                </w14:textFill>
              </w:rPr>
            </w:pPr>
            <w:r>
              <w:rPr>
                <w:rFonts w:ascii="Times New Roman" w:hAnsi="Times New Roman" w:eastAsia="仿宋" w:cs="Times New Roman"/>
                <w:b/>
                <w:bCs/>
                <w:color w:val="000000" w:themeColor="text1"/>
                <w:sz w:val="24"/>
                <w:szCs w:val="24"/>
                <w14:textFill>
                  <w14:solidFill>
                    <w14:schemeClr w14:val="tx1"/>
                  </w14:solidFill>
                </w14:textFill>
              </w:rPr>
              <w:t>修</w:t>
            </w:r>
          </w:p>
          <w:p w14:paraId="545063B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r>
              <w:rPr>
                <w:rFonts w:ascii="Times New Roman" w:hAnsi="Times New Roman" w:eastAsia="仿宋" w:cs="Times New Roman"/>
                <w:b/>
                <w:bCs/>
                <w:color w:val="000000" w:themeColor="text1"/>
                <w:sz w:val="24"/>
                <w:szCs w:val="24"/>
                <w14:textFill>
                  <w14:solidFill>
                    <w14:schemeClr w14:val="tx1"/>
                  </w14:solidFill>
                </w14:textFill>
              </w:rPr>
              <w:t>课</w:t>
            </w:r>
          </w:p>
        </w:tc>
        <w:tc>
          <w:tcPr>
            <w:tcW w:w="178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2B0EBEB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241412542D01</w:t>
            </w:r>
          </w:p>
        </w:tc>
        <w:tc>
          <w:tcPr>
            <w:tcW w:w="236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FB7851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val="zh-CN"/>
                <w14:textFill>
                  <w14:solidFill>
                    <w14:schemeClr w14:val="tx1"/>
                  </w14:solidFill>
                </w14:textFill>
              </w:rPr>
              <w:t>旅游教育学理论前沿</w:t>
            </w:r>
          </w:p>
        </w:tc>
        <w:tc>
          <w:tcPr>
            <w:tcW w:w="62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E7A956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hint="eastAsia" w:ascii="Times New Roman" w:hAnsi="Times New Roman" w:eastAsia="仿宋" w:cs="Times New Roman"/>
                <w:b w:val="0"/>
                <w:bCs w:val="0"/>
                <w:color w:val="000000" w:themeColor="text1"/>
                <w:sz w:val="24"/>
                <w:szCs w:val="24"/>
                <w14:textFill>
                  <w14:solidFill>
                    <w14:schemeClr w14:val="tx1"/>
                  </w14:solidFill>
                </w14:textFill>
              </w:rPr>
              <w:t>3</w:t>
            </w:r>
            <w:r>
              <w:rPr>
                <w:rFonts w:ascii="Times New Roman" w:hAnsi="Times New Roman" w:eastAsia="仿宋" w:cs="Times New Roman"/>
                <w:b w:val="0"/>
                <w:bCs w:val="0"/>
                <w:color w:val="000000" w:themeColor="text1"/>
                <w:sz w:val="24"/>
                <w:szCs w:val="24"/>
                <w14:textFill>
                  <w14:solidFill>
                    <w14:schemeClr w14:val="tx1"/>
                  </w14:solidFill>
                </w14:textFill>
              </w:rPr>
              <w:t>2</w:t>
            </w:r>
          </w:p>
        </w:tc>
        <w:tc>
          <w:tcPr>
            <w:tcW w:w="54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FC38C6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val="zh-CN"/>
                <w14:textFill>
                  <w14:solidFill>
                    <w14:schemeClr w14:val="tx1"/>
                  </w14:solidFill>
                </w14:textFill>
              </w:rPr>
              <w:t>2</w:t>
            </w:r>
          </w:p>
        </w:tc>
        <w:tc>
          <w:tcPr>
            <w:tcW w:w="107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BED42F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春季</w:t>
            </w:r>
          </w:p>
        </w:tc>
        <w:tc>
          <w:tcPr>
            <w:tcW w:w="170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182F2D4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公共管理与人文地理学院</w:t>
            </w:r>
          </w:p>
        </w:tc>
        <w:tc>
          <w:tcPr>
            <w:tcW w:w="843" w:type="dxa"/>
            <w:vMerge w:val="restar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4E939C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选修5学分</w:t>
            </w:r>
          </w:p>
        </w:tc>
      </w:tr>
      <w:tr w14:paraId="055A9D63">
        <w:tblPrEx>
          <w:tblCellMar>
            <w:top w:w="0" w:type="dxa"/>
            <w:left w:w="0" w:type="dxa"/>
            <w:bottom w:w="0" w:type="dxa"/>
            <w:right w:w="0" w:type="dxa"/>
          </w:tblCellMar>
        </w:tblPrEx>
        <w:trPr>
          <w:trHeight w:val="400" w:hRule="atLeast"/>
          <w:jc w:val="center"/>
        </w:trPr>
        <w:tc>
          <w:tcPr>
            <w:tcW w:w="526" w:type="dxa"/>
            <w:vMerge w:val="continue"/>
            <w:tcBorders>
              <w:left w:val="single" w:color="auto" w:sz="4" w:space="0"/>
              <w:right w:val="single" w:color="auto" w:sz="4" w:space="0"/>
            </w:tcBorders>
            <w:vAlign w:val="center"/>
          </w:tcPr>
          <w:p w14:paraId="29DDE96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590" w:type="dxa"/>
            <w:vMerge w:val="continue"/>
            <w:tcBorders>
              <w:top w:val="single" w:color="auto" w:sz="4" w:space="0"/>
              <w:left w:val="single" w:color="auto" w:sz="4" w:space="0"/>
              <w:bottom w:val="single" w:color="auto" w:sz="4" w:space="0"/>
              <w:right w:val="single" w:color="auto" w:sz="4" w:space="0"/>
            </w:tcBorders>
            <w:vAlign w:val="center"/>
          </w:tcPr>
          <w:p w14:paraId="4150790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178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473FBC2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241412542D02</w:t>
            </w:r>
          </w:p>
        </w:tc>
        <w:tc>
          <w:tcPr>
            <w:tcW w:w="236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7321663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kern w:val="0"/>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旅游规划应用软件</w:t>
            </w:r>
          </w:p>
        </w:tc>
        <w:tc>
          <w:tcPr>
            <w:tcW w:w="62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35AAA6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hint="eastAsia" w:ascii="Times New Roman" w:hAnsi="Times New Roman" w:eastAsia="仿宋" w:cs="Times New Roman"/>
                <w:b w:val="0"/>
                <w:bCs w:val="0"/>
                <w:color w:val="000000" w:themeColor="text1"/>
                <w:sz w:val="24"/>
                <w:szCs w:val="24"/>
                <w14:textFill>
                  <w14:solidFill>
                    <w14:schemeClr w14:val="tx1"/>
                  </w14:solidFill>
                </w14:textFill>
              </w:rPr>
              <w:t>3</w:t>
            </w:r>
            <w:r>
              <w:rPr>
                <w:rFonts w:ascii="Times New Roman" w:hAnsi="Times New Roman" w:eastAsia="仿宋" w:cs="Times New Roman"/>
                <w:b w:val="0"/>
                <w:bCs w:val="0"/>
                <w:color w:val="000000" w:themeColor="text1"/>
                <w:sz w:val="24"/>
                <w:szCs w:val="24"/>
                <w14:textFill>
                  <w14:solidFill>
                    <w14:schemeClr w14:val="tx1"/>
                  </w14:solidFill>
                </w14:textFill>
              </w:rPr>
              <w:t>2</w:t>
            </w:r>
          </w:p>
        </w:tc>
        <w:tc>
          <w:tcPr>
            <w:tcW w:w="54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28486FF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val="zh-CN"/>
                <w14:textFill>
                  <w14:solidFill>
                    <w14:schemeClr w14:val="tx1"/>
                  </w14:solidFill>
                </w14:textFill>
              </w:rPr>
              <w:t>2</w:t>
            </w:r>
          </w:p>
        </w:tc>
        <w:tc>
          <w:tcPr>
            <w:tcW w:w="107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7DFC06D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春季</w:t>
            </w:r>
          </w:p>
        </w:tc>
        <w:tc>
          <w:tcPr>
            <w:tcW w:w="170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489F0AB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公共管理与人文地理学院</w:t>
            </w:r>
          </w:p>
        </w:tc>
        <w:tc>
          <w:tcPr>
            <w:tcW w:w="843" w:type="dxa"/>
            <w:vMerge w:val="continue"/>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186C147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p>
        </w:tc>
      </w:tr>
      <w:tr w14:paraId="744A8221">
        <w:tblPrEx>
          <w:tblCellMar>
            <w:top w:w="0" w:type="dxa"/>
            <w:left w:w="0" w:type="dxa"/>
            <w:bottom w:w="0" w:type="dxa"/>
            <w:right w:w="0" w:type="dxa"/>
          </w:tblCellMar>
        </w:tblPrEx>
        <w:trPr>
          <w:trHeight w:val="400" w:hRule="atLeast"/>
          <w:jc w:val="center"/>
        </w:trPr>
        <w:tc>
          <w:tcPr>
            <w:tcW w:w="526" w:type="dxa"/>
            <w:vMerge w:val="continue"/>
            <w:tcBorders>
              <w:left w:val="single" w:color="auto" w:sz="4" w:space="0"/>
              <w:right w:val="single" w:color="auto" w:sz="4" w:space="0"/>
            </w:tcBorders>
            <w:vAlign w:val="center"/>
          </w:tcPr>
          <w:p w14:paraId="0054854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590" w:type="dxa"/>
            <w:vMerge w:val="continue"/>
            <w:tcBorders>
              <w:top w:val="single" w:color="auto" w:sz="4" w:space="0"/>
              <w:left w:val="single" w:color="auto" w:sz="4" w:space="0"/>
              <w:bottom w:val="single" w:color="auto" w:sz="4" w:space="0"/>
              <w:right w:val="single" w:color="auto" w:sz="4" w:space="0"/>
            </w:tcBorders>
            <w:vAlign w:val="center"/>
          </w:tcPr>
          <w:p w14:paraId="4588E17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178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2F3F27D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241412542D03</w:t>
            </w:r>
          </w:p>
        </w:tc>
        <w:tc>
          <w:tcPr>
            <w:tcW w:w="236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24E84A8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kern w:val="0"/>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文旅产业管理</w:t>
            </w:r>
          </w:p>
        </w:tc>
        <w:tc>
          <w:tcPr>
            <w:tcW w:w="62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7E7F2A2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hint="eastAsia" w:ascii="Times New Roman" w:hAnsi="Times New Roman" w:eastAsia="仿宋" w:cs="Times New Roman"/>
                <w:b w:val="0"/>
                <w:bCs w:val="0"/>
                <w:color w:val="000000" w:themeColor="text1"/>
                <w:sz w:val="24"/>
                <w:szCs w:val="24"/>
                <w14:textFill>
                  <w14:solidFill>
                    <w14:schemeClr w14:val="tx1"/>
                  </w14:solidFill>
                </w14:textFill>
              </w:rPr>
              <w:t>3</w:t>
            </w:r>
            <w:r>
              <w:rPr>
                <w:rFonts w:ascii="Times New Roman" w:hAnsi="Times New Roman" w:eastAsia="仿宋" w:cs="Times New Roman"/>
                <w:b w:val="0"/>
                <w:bCs w:val="0"/>
                <w:color w:val="000000" w:themeColor="text1"/>
                <w:sz w:val="24"/>
                <w:szCs w:val="24"/>
                <w14:textFill>
                  <w14:solidFill>
                    <w14:schemeClr w14:val="tx1"/>
                  </w14:solidFill>
                </w14:textFill>
              </w:rPr>
              <w:t>2</w:t>
            </w:r>
          </w:p>
        </w:tc>
        <w:tc>
          <w:tcPr>
            <w:tcW w:w="54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F81EF1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val="zh-CN"/>
                <w14:textFill>
                  <w14:solidFill>
                    <w14:schemeClr w14:val="tx1"/>
                  </w14:solidFill>
                </w14:textFill>
              </w:rPr>
              <w:t>2</w:t>
            </w:r>
          </w:p>
        </w:tc>
        <w:tc>
          <w:tcPr>
            <w:tcW w:w="107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6BE312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春季</w:t>
            </w:r>
          </w:p>
        </w:tc>
        <w:tc>
          <w:tcPr>
            <w:tcW w:w="170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297173E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公共管理与人文地理学院</w:t>
            </w:r>
          </w:p>
        </w:tc>
        <w:tc>
          <w:tcPr>
            <w:tcW w:w="843" w:type="dxa"/>
            <w:vMerge w:val="continue"/>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00771AC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p>
        </w:tc>
      </w:tr>
      <w:tr w14:paraId="6AD19B23">
        <w:tblPrEx>
          <w:tblCellMar>
            <w:top w:w="0" w:type="dxa"/>
            <w:left w:w="0" w:type="dxa"/>
            <w:bottom w:w="0" w:type="dxa"/>
            <w:right w:w="0" w:type="dxa"/>
          </w:tblCellMar>
        </w:tblPrEx>
        <w:trPr>
          <w:trHeight w:val="400" w:hRule="atLeast"/>
          <w:jc w:val="center"/>
        </w:trPr>
        <w:tc>
          <w:tcPr>
            <w:tcW w:w="526" w:type="dxa"/>
            <w:vMerge w:val="continue"/>
            <w:tcBorders>
              <w:left w:val="single" w:color="auto" w:sz="4" w:space="0"/>
              <w:right w:val="single" w:color="auto" w:sz="4" w:space="0"/>
            </w:tcBorders>
            <w:vAlign w:val="center"/>
          </w:tcPr>
          <w:p w14:paraId="696F1D4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590" w:type="dxa"/>
            <w:vMerge w:val="continue"/>
            <w:tcBorders>
              <w:top w:val="single" w:color="auto" w:sz="4" w:space="0"/>
              <w:left w:val="single" w:color="auto" w:sz="4" w:space="0"/>
              <w:bottom w:val="single" w:color="auto" w:sz="4" w:space="0"/>
              <w:right w:val="single" w:color="auto" w:sz="4" w:space="0"/>
            </w:tcBorders>
            <w:vAlign w:val="center"/>
          </w:tcPr>
          <w:p w14:paraId="66C32AB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178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84BC83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241412542D04</w:t>
            </w:r>
          </w:p>
        </w:tc>
        <w:tc>
          <w:tcPr>
            <w:tcW w:w="236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E4BBB5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kern w:val="0"/>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智慧旅游开发与管理</w:t>
            </w:r>
          </w:p>
        </w:tc>
        <w:tc>
          <w:tcPr>
            <w:tcW w:w="62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7A5FEE7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hint="eastAsia" w:ascii="Times New Roman" w:hAnsi="Times New Roman" w:eastAsia="仿宋" w:cs="Times New Roman"/>
                <w:b w:val="0"/>
                <w:bCs w:val="0"/>
                <w:color w:val="000000" w:themeColor="text1"/>
                <w:sz w:val="24"/>
                <w:szCs w:val="24"/>
                <w14:textFill>
                  <w14:solidFill>
                    <w14:schemeClr w14:val="tx1"/>
                  </w14:solidFill>
                </w14:textFill>
              </w:rPr>
              <w:t>3</w:t>
            </w:r>
            <w:r>
              <w:rPr>
                <w:rFonts w:ascii="Times New Roman" w:hAnsi="Times New Roman" w:eastAsia="仿宋" w:cs="Times New Roman"/>
                <w:b w:val="0"/>
                <w:bCs w:val="0"/>
                <w:color w:val="000000" w:themeColor="text1"/>
                <w:sz w:val="24"/>
                <w:szCs w:val="24"/>
                <w14:textFill>
                  <w14:solidFill>
                    <w14:schemeClr w14:val="tx1"/>
                  </w14:solidFill>
                </w14:textFill>
              </w:rPr>
              <w:t>2</w:t>
            </w:r>
          </w:p>
        </w:tc>
        <w:tc>
          <w:tcPr>
            <w:tcW w:w="54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4D4D66D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val="zh-CN"/>
                <w14:textFill>
                  <w14:solidFill>
                    <w14:schemeClr w14:val="tx1"/>
                  </w14:solidFill>
                </w14:textFill>
              </w:rPr>
              <w:t>2</w:t>
            </w:r>
          </w:p>
        </w:tc>
        <w:tc>
          <w:tcPr>
            <w:tcW w:w="107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2D6E09F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春季</w:t>
            </w:r>
          </w:p>
        </w:tc>
        <w:tc>
          <w:tcPr>
            <w:tcW w:w="170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7180F86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公共管理与人文地理学院</w:t>
            </w:r>
          </w:p>
        </w:tc>
        <w:tc>
          <w:tcPr>
            <w:tcW w:w="843" w:type="dxa"/>
            <w:vMerge w:val="continue"/>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7BC5B58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p>
        </w:tc>
      </w:tr>
      <w:tr w14:paraId="192DF832">
        <w:tblPrEx>
          <w:tblCellMar>
            <w:top w:w="0" w:type="dxa"/>
            <w:left w:w="0" w:type="dxa"/>
            <w:bottom w:w="0" w:type="dxa"/>
            <w:right w:w="0" w:type="dxa"/>
          </w:tblCellMar>
        </w:tblPrEx>
        <w:trPr>
          <w:trHeight w:val="400" w:hRule="atLeast"/>
          <w:jc w:val="center"/>
        </w:trPr>
        <w:tc>
          <w:tcPr>
            <w:tcW w:w="526" w:type="dxa"/>
            <w:vMerge w:val="continue"/>
            <w:tcBorders>
              <w:left w:val="single" w:color="auto" w:sz="4" w:space="0"/>
              <w:right w:val="single" w:color="auto" w:sz="4" w:space="0"/>
            </w:tcBorders>
            <w:vAlign w:val="center"/>
          </w:tcPr>
          <w:p w14:paraId="0639763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590" w:type="dxa"/>
            <w:vMerge w:val="continue"/>
            <w:tcBorders>
              <w:top w:val="single" w:color="auto" w:sz="4" w:space="0"/>
              <w:left w:val="single" w:color="auto" w:sz="4" w:space="0"/>
              <w:bottom w:val="single" w:color="auto" w:sz="4" w:space="0"/>
              <w:right w:val="single" w:color="auto" w:sz="4" w:space="0"/>
            </w:tcBorders>
            <w:vAlign w:val="center"/>
          </w:tcPr>
          <w:p w14:paraId="6579EAF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178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1138A3C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241412542D05</w:t>
            </w:r>
          </w:p>
        </w:tc>
        <w:tc>
          <w:tcPr>
            <w:tcW w:w="236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44F1030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kern w:val="0"/>
                <w:sz w:val="24"/>
                <w:szCs w:val="24"/>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旅游新业态管理</w:t>
            </w:r>
          </w:p>
        </w:tc>
        <w:tc>
          <w:tcPr>
            <w:tcW w:w="62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D0D302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r>
              <w:rPr>
                <w:rFonts w:hint="eastAsia" w:ascii="Times New Roman" w:hAnsi="Times New Roman" w:eastAsia="仿宋" w:cs="Times New Roman"/>
                <w:b w:val="0"/>
                <w:bCs w:val="0"/>
                <w:color w:val="000000" w:themeColor="text1"/>
                <w:sz w:val="24"/>
                <w:szCs w:val="24"/>
                <w14:textFill>
                  <w14:solidFill>
                    <w14:schemeClr w14:val="tx1"/>
                  </w14:solidFill>
                </w14:textFill>
              </w:rPr>
              <w:t>1</w:t>
            </w:r>
            <w:r>
              <w:rPr>
                <w:rFonts w:ascii="Times New Roman" w:hAnsi="Times New Roman" w:eastAsia="仿宋" w:cs="Times New Roman"/>
                <w:b w:val="0"/>
                <w:bCs w:val="0"/>
                <w:color w:val="000000" w:themeColor="text1"/>
                <w:sz w:val="24"/>
                <w:szCs w:val="24"/>
                <w14:textFill>
                  <w14:solidFill>
                    <w14:schemeClr w14:val="tx1"/>
                  </w14:solidFill>
                </w14:textFill>
              </w:rPr>
              <w:t>6</w:t>
            </w:r>
          </w:p>
        </w:tc>
        <w:tc>
          <w:tcPr>
            <w:tcW w:w="54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2DFD2C8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1</w:t>
            </w:r>
          </w:p>
        </w:tc>
        <w:tc>
          <w:tcPr>
            <w:tcW w:w="107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4A0E65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春季</w:t>
            </w:r>
          </w:p>
        </w:tc>
        <w:tc>
          <w:tcPr>
            <w:tcW w:w="170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0BB2830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公共管理与人文地理学院</w:t>
            </w:r>
          </w:p>
        </w:tc>
        <w:tc>
          <w:tcPr>
            <w:tcW w:w="843" w:type="dxa"/>
            <w:vMerge w:val="continue"/>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5A58BBE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p>
        </w:tc>
      </w:tr>
      <w:tr w14:paraId="324E6F55">
        <w:tblPrEx>
          <w:tblCellMar>
            <w:top w:w="0" w:type="dxa"/>
            <w:left w:w="0" w:type="dxa"/>
            <w:bottom w:w="0" w:type="dxa"/>
            <w:right w:w="0" w:type="dxa"/>
          </w:tblCellMar>
        </w:tblPrEx>
        <w:trPr>
          <w:trHeight w:val="400" w:hRule="atLeast"/>
          <w:jc w:val="center"/>
        </w:trPr>
        <w:tc>
          <w:tcPr>
            <w:tcW w:w="526" w:type="dxa"/>
            <w:vMerge w:val="continue"/>
            <w:tcBorders>
              <w:left w:val="single" w:color="auto" w:sz="4" w:space="0"/>
              <w:right w:val="single" w:color="auto" w:sz="4" w:space="0"/>
            </w:tcBorders>
            <w:vAlign w:val="center"/>
          </w:tcPr>
          <w:p w14:paraId="1397572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590" w:type="dxa"/>
            <w:vMerge w:val="continue"/>
            <w:tcBorders>
              <w:top w:val="single" w:color="auto" w:sz="4" w:space="0"/>
              <w:left w:val="single" w:color="auto" w:sz="4" w:space="0"/>
              <w:bottom w:val="single" w:color="auto" w:sz="4" w:space="0"/>
              <w:right w:val="single" w:color="auto" w:sz="4" w:space="0"/>
            </w:tcBorders>
            <w:vAlign w:val="center"/>
          </w:tcPr>
          <w:p w14:paraId="2FF652F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178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17D9E6F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241412542D06</w:t>
            </w:r>
          </w:p>
        </w:tc>
        <w:tc>
          <w:tcPr>
            <w:tcW w:w="236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1D7E304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空间理论与空间计量专题</w:t>
            </w:r>
          </w:p>
        </w:tc>
        <w:tc>
          <w:tcPr>
            <w:tcW w:w="62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0D0FD80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hint="eastAsia" w:ascii="Times New Roman" w:hAnsi="Times New Roman" w:eastAsia="仿宋" w:cs="Times New Roman"/>
                <w:b w:val="0"/>
                <w:bCs w:val="0"/>
                <w:color w:val="000000" w:themeColor="text1"/>
                <w:sz w:val="24"/>
                <w:szCs w:val="24"/>
                <w14:textFill>
                  <w14:solidFill>
                    <w14:schemeClr w14:val="tx1"/>
                  </w14:solidFill>
                </w14:textFill>
              </w:rPr>
              <w:t>3</w:t>
            </w:r>
            <w:r>
              <w:rPr>
                <w:rFonts w:ascii="Times New Roman" w:hAnsi="Times New Roman" w:eastAsia="仿宋" w:cs="Times New Roman"/>
                <w:b w:val="0"/>
                <w:bCs w:val="0"/>
                <w:color w:val="000000" w:themeColor="text1"/>
                <w:sz w:val="24"/>
                <w:szCs w:val="24"/>
                <w14:textFill>
                  <w14:solidFill>
                    <w14:schemeClr w14:val="tx1"/>
                  </w14:solidFill>
                </w14:textFill>
              </w:rPr>
              <w:t>2</w:t>
            </w:r>
          </w:p>
        </w:tc>
        <w:tc>
          <w:tcPr>
            <w:tcW w:w="54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3DE9CF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val="zh-CN"/>
                <w14:textFill>
                  <w14:solidFill>
                    <w14:schemeClr w14:val="tx1"/>
                  </w14:solidFill>
                </w14:textFill>
              </w:rPr>
              <w:t>2</w:t>
            </w:r>
          </w:p>
        </w:tc>
        <w:tc>
          <w:tcPr>
            <w:tcW w:w="107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7E39950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春季</w:t>
            </w:r>
          </w:p>
        </w:tc>
        <w:tc>
          <w:tcPr>
            <w:tcW w:w="170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02186A0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公共管理与人文地理学院</w:t>
            </w:r>
          </w:p>
        </w:tc>
        <w:tc>
          <w:tcPr>
            <w:tcW w:w="843" w:type="dxa"/>
            <w:vMerge w:val="continue"/>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7DA8082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p>
        </w:tc>
      </w:tr>
      <w:tr w14:paraId="1A68F6BA">
        <w:tblPrEx>
          <w:tblCellMar>
            <w:top w:w="0" w:type="dxa"/>
            <w:left w:w="0" w:type="dxa"/>
            <w:bottom w:w="0" w:type="dxa"/>
            <w:right w:w="0" w:type="dxa"/>
          </w:tblCellMar>
        </w:tblPrEx>
        <w:trPr>
          <w:trHeight w:val="400" w:hRule="atLeast"/>
          <w:jc w:val="center"/>
        </w:trPr>
        <w:tc>
          <w:tcPr>
            <w:tcW w:w="526" w:type="dxa"/>
            <w:vMerge w:val="continue"/>
            <w:tcBorders>
              <w:left w:val="single" w:color="auto" w:sz="4" w:space="0"/>
              <w:right w:val="single" w:color="auto" w:sz="4" w:space="0"/>
            </w:tcBorders>
            <w:vAlign w:val="center"/>
          </w:tcPr>
          <w:p w14:paraId="0611D74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590" w:type="dxa"/>
            <w:vMerge w:val="continue"/>
            <w:tcBorders>
              <w:top w:val="single" w:color="auto" w:sz="4" w:space="0"/>
              <w:left w:val="single" w:color="auto" w:sz="4" w:space="0"/>
              <w:bottom w:val="single" w:color="auto" w:sz="4" w:space="0"/>
              <w:right w:val="single" w:color="auto" w:sz="4" w:space="0"/>
            </w:tcBorders>
            <w:vAlign w:val="center"/>
          </w:tcPr>
          <w:p w14:paraId="757CE95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178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5410253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r>
              <w:rPr>
                <w:rFonts w:hint="eastAsia" w:ascii="Times New Roman" w:hAnsi="Times New Roman" w:eastAsia="仿宋" w:cs="Times New Roman"/>
                <w:b w:val="0"/>
                <w:bCs w:val="0"/>
                <w:color w:val="000000" w:themeColor="text1"/>
                <w:sz w:val="24"/>
                <w:szCs w:val="24"/>
                <w14:textFill>
                  <w14:solidFill>
                    <w14:schemeClr w14:val="tx1"/>
                  </w14:solidFill>
                </w14:textFill>
              </w:rPr>
              <w:t>241402012D01</w:t>
            </w:r>
          </w:p>
        </w:tc>
        <w:tc>
          <w:tcPr>
            <w:tcW w:w="236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0A717A6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kern w:val="0"/>
                <w:sz w:val="24"/>
                <w:szCs w:val="24"/>
                <w14:textFill>
                  <w14:solidFill>
                    <w14:schemeClr w14:val="tx1"/>
                  </w14:solidFill>
                </w14:textFill>
              </w:rPr>
            </w:pPr>
            <w:r>
              <w:rPr>
                <w:rFonts w:hint="eastAsia" w:ascii="Times New Roman" w:hAnsi="Times New Roman" w:eastAsia="仿宋" w:cs="Times New Roman"/>
                <w:b w:val="0"/>
                <w:bCs w:val="0"/>
                <w:color w:val="000000" w:themeColor="text1"/>
                <w:sz w:val="24"/>
                <w:szCs w:val="24"/>
                <w14:textFill>
                  <w14:solidFill>
                    <w14:schemeClr w14:val="tx1"/>
                  </w14:solidFill>
                </w14:textFill>
              </w:rPr>
              <w:t>高级区域经济学</w:t>
            </w:r>
          </w:p>
        </w:tc>
        <w:tc>
          <w:tcPr>
            <w:tcW w:w="62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E71110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hint="eastAsia" w:ascii="Times New Roman" w:hAnsi="Times New Roman" w:eastAsia="仿宋" w:cs="Times New Roman"/>
                <w:b w:val="0"/>
                <w:bCs w:val="0"/>
                <w:color w:val="000000" w:themeColor="text1"/>
                <w:sz w:val="24"/>
                <w:szCs w:val="24"/>
                <w14:textFill>
                  <w14:solidFill>
                    <w14:schemeClr w14:val="tx1"/>
                  </w14:solidFill>
                </w14:textFill>
              </w:rPr>
              <w:t>3</w:t>
            </w:r>
            <w:r>
              <w:rPr>
                <w:rFonts w:ascii="Times New Roman" w:hAnsi="Times New Roman" w:eastAsia="仿宋" w:cs="Times New Roman"/>
                <w:b w:val="0"/>
                <w:bCs w:val="0"/>
                <w:color w:val="000000" w:themeColor="text1"/>
                <w:sz w:val="24"/>
                <w:szCs w:val="24"/>
                <w14:textFill>
                  <w14:solidFill>
                    <w14:schemeClr w14:val="tx1"/>
                  </w14:solidFill>
                </w14:textFill>
              </w:rPr>
              <w:t>2</w:t>
            </w:r>
          </w:p>
        </w:tc>
        <w:tc>
          <w:tcPr>
            <w:tcW w:w="54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12A6934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val="zh-CN"/>
                <w14:textFill>
                  <w14:solidFill>
                    <w14:schemeClr w14:val="tx1"/>
                  </w14:solidFill>
                </w14:textFill>
              </w:rPr>
              <w:t>2</w:t>
            </w:r>
          </w:p>
        </w:tc>
        <w:tc>
          <w:tcPr>
            <w:tcW w:w="107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1B6C056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春季</w:t>
            </w:r>
          </w:p>
        </w:tc>
        <w:tc>
          <w:tcPr>
            <w:tcW w:w="170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1A18CDC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公共管理与人文地理学院</w:t>
            </w:r>
          </w:p>
        </w:tc>
        <w:tc>
          <w:tcPr>
            <w:tcW w:w="843" w:type="dxa"/>
            <w:vMerge w:val="continue"/>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449B71C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p>
        </w:tc>
      </w:tr>
      <w:tr w14:paraId="64252633">
        <w:tblPrEx>
          <w:tblCellMar>
            <w:top w:w="0" w:type="dxa"/>
            <w:left w:w="0" w:type="dxa"/>
            <w:bottom w:w="0" w:type="dxa"/>
            <w:right w:w="0" w:type="dxa"/>
          </w:tblCellMar>
        </w:tblPrEx>
        <w:trPr>
          <w:trHeight w:val="400" w:hRule="atLeast"/>
          <w:jc w:val="center"/>
        </w:trPr>
        <w:tc>
          <w:tcPr>
            <w:tcW w:w="526" w:type="dxa"/>
            <w:vMerge w:val="continue"/>
            <w:tcBorders>
              <w:left w:val="single" w:color="auto" w:sz="4" w:space="0"/>
              <w:right w:val="single" w:color="auto" w:sz="4" w:space="0"/>
            </w:tcBorders>
            <w:vAlign w:val="center"/>
          </w:tcPr>
          <w:p w14:paraId="47CDF4B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590" w:type="dxa"/>
            <w:vMerge w:val="continue"/>
            <w:tcBorders>
              <w:top w:val="single" w:color="auto" w:sz="4" w:space="0"/>
              <w:left w:val="single" w:color="auto" w:sz="4" w:space="0"/>
              <w:bottom w:val="single" w:color="auto" w:sz="4" w:space="0"/>
              <w:right w:val="single" w:color="auto" w:sz="4" w:space="0"/>
            </w:tcBorders>
            <w:vAlign w:val="center"/>
          </w:tcPr>
          <w:p w14:paraId="433204B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178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70EAEFE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241412542D08</w:t>
            </w:r>
          </w:p>
        </w:tc>
        <w:tc>
          <w:tcPr>
            <w:tcW w:w="236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0003AAC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kern w:val="0"/>
                <w:sz w:val="24"/>
                <w:szCs w:val="24"/>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旅游大数据分析</w:t>
            </w:r>
          </w:p>
        </w:tc>
        <w:tc>
          <w:tcPr>
            <w:tcW w:w="62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27BB26A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hint="eastAsia" w:ascii="Times New Roman" w:hAnsi="Times New Roman" w:eastAsia="仿宋" w:cs="Times New Roman"/>
                <w:b w:val="0"/>
                <w:bCs w:val="0"/>
                <w:color w:val="000000" w:themeColor="text1"/>
                <w:sz w:val="24"/>
                <w:szCs w:val="24"/>
                <w14:textFill>
                  <w14:solidFill>
                    <w14:schemeClr w14:val="tx1"/>
                  </w14:solidFill>
                </w14:textFill>
              </w:rPr>
              <w:t>3</w:t>
            </w:r>
            <w:r>
              <w:rPr>
                <w:rFonts w:ascii="Times New Roman" w:hAnsi="Times New Roman" w:eastAsia="仿宋" w:cs="Times New Roman"/>
                <w:b w:val="0"/>
                <w:bCs w:val="0"/>
                <w:color w:val="000000" w:themeColor="text1"/>
                <w:sz w:val="24"/>
                <w:szCs w:val="24"/>
                <w14:textFill>
                  <w14:solidFill>
                    <w14:schemeClr w14:val="tx1"/>
                  </w14:solidFill>
                </w14:textFill>
              </w:rPr>
              <w:t>2</w:t>
            </w:r>
          </w:p>
        </w:tc>
        <w:tc>
          <w:tcPr>
            <w:tcW w:w="54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51C69B6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val="zh-CN"/>
                <w14:textFill>
                  <w14:solidFill>
                    <w14:schemeClr w14:val="tx1"/>
                  </w14:solidFill>
                </w14:textFill>
              </w:rPr>
              <w:t>2</w:t>
            </w:r>
          </w:p>
        </w:tc>
        <w:tc>
          <w:tcPr>
            <w:tcW w:w="107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4B4491B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春季</w:t>
            </w:r>
          </w:p>
        </w:tc>
        <w:tc>
          <w:tcPr>
            <w:tcW w:w="170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209668E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公共管理与人文地理学院</w:t>
            </w:r>
          </w:p>
        </w:tc>
        <w:tc>
          <w:tcPr>
            <w:tcW w:w="843" w:type="dxa"/>
            <w:vMerge w:val="continue"/>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4544315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p>
        </w:tc>
      </w:tr>
      <w:tr w14:paraId="42C484EB">
        <w:tblPrEx>
          <w:tblCellMar>
            <w:top w:w="0" w:type="dxa"/>
            <w:left w:w="0" w:type="dxa"/>
            <w:bottom w:w="0" w:type="dxa"/>
            <w:right w:w="0" w:type="dxa"/>
          </w:tblCellMar>
        </w:tblPrEx>
        <w:trPr>
          <w:trHeight w:val="400" w:hRule="atLeast"/>
          <w:jc w:val="center"/>
        </w:trPr>
        <w:tc>
          <w:tcPr>
            <w:tcW w:w="526" w:type="dxa"/>
            <w:vMerge w:val="continue"/>
            <w:tcBorders>
              <w:left w:val="single" w:color="auto" w:sz="4" w:space="0"/>
              <w:right w:val="single" w:color="auto" w:sz="4" w:space="0"/>
            </w:tcBorders>
            <w:vAlign w:val="center"/>
          </w:tcPr>
          <w:p w14:paraId="003765B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590" w:type="dxa"/>
            <w:vMerge w:val="continue"/>
            <w:tcBorders>
              <w:top w:val="single" w:color="auto" w:sz="4" w:space="0"/>
              <w:left w:val="single" w:color="auto" w:sz="4" w:space="0"/>
              <w:bottom w:val="single" w:color="auto" w:sz="4" w:space="0"/>
              <w:right w:val="single" w:color="auto" w:sz="4" w:space="0"/>
            </w:tcBorders>
            <w:vAlign w:val="center"/>
          </w:tcPr>
          <w:p w14:paraId="6845181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178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DBAB7B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241412542D09</w:t>
            </w:r>
          </w:p>
        </w:tc>
        <w:tc>
          <w:tcPr>
            <w:tcW w:w="236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F271C5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kern w:val="0"/>
                <w:sz w:val="24"/>
                <w:szCs w:val="24"/>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旅游地理与环境</w:t>
            </w:r>
          </w:p>
        </w:tc>
        <w:tc>
          <w:tcPr>
            <w:tcW w:w="62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5A77BB5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hint="eastAsia" w:ascii="Times New Roman" w:hAnsi="Times New Roman" w:eastAsia="仿宋" w:cs="Times New Roman"/>
                <w:b w:val="0"/>
                <w:bCs w:val="0"/>
                <w:color w:val="000000" w:themeColor="text1"/>
                <w:sz w:val="24"/>
                <w:szCs w:val="24"/>
                <w14:textFill>
                  <w14:solidFill>
                    <w14:schemeClr w14:val="tx1"/>
                  </w14:solidFill>
                </w14:textFill>
              </w:rPr>
              <w:t>3</w:t>
            </w:r>
            <w:r>
              <w:rPr>
                <w:rFonts w:ascii="Times New Roman" w:hAnsi="Times New Roman" w:eastAsia="仿宋" w:cs="Times New Roman"/>
                <w:b w:val="0"/>
                <w:bCs w:val="0"/>
                <w:color w:val="000000" w:themeColor="text1"/>
                <w:sz w:val="24"/>
                <w:szCs w:val="24"/>
                <w14:textFill>
                  <w14:solidFill>
                    <w14:schemeClr w14:val="tx1"/>
                  </w14:solidFill>
                </w14:textFill>
              </w:rPr>
              <w:t>2</w:t>
            </w:r>
          </w:p>
        </w:tc>
        <w:tc>
          <w:tcPr>
            <w:tcW w:w="54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E5A716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val="zh-CN"/>
                <w14:textFill>
                  <w14:solidFill>
                    <w14:schemeClr w14:val="tx1"/>
                  </w14:solidFill>
                </w14:textFill>
              </w:rPr>
              <w:t>2</w:t>
            </w:r>
          </w:p>
        </w:tc>
        <w:tc>
          <w:tcPr>
            <w:tcW w:w="107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2EBDB89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春季</w:t>
            </w:r>
          </w:p>
        </w:tc>
        <w:tc>
          <w:tcPr>
            <w:tcW w:w="170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F5E49F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公共管理与人文地理学院</w:t>
            </w:r>
          </w:p>
        </w:tc>
        <w:tc>
          <w:tcPr>
            <w:tcW w:w="843" w:type="dxa"/>
            <w:vMerge w:val="continue"/>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1F48B13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p>
        </w:tc>
      </w:tr>
      <w:tr w14:paraId="744B0ECF">
        <w:tblPrEx>
          <w:tblCellMar>
            <w:top w:w="0" w:type="dxa"/>
            <w:left w:w="0" w:type="dxa"/>
            <w:bottom w:w="0" w:type="dxa"/>
            <w:right w:w="0" w:type="dxa"/>
          </w:tblCellMar>
        </w:tblPrEx>
        <w:trPr>
          <w:trHeight w:val="400" w:hRule="atLeast"/>
          <w:jc w:val="center"/>
        </w:trPr>
        <w:tc>
          <w:tcPr>
            <w:tcW w:w="526" w:type="dxa"/>
            <w:vMerge w:val="continue"/>
            <w:tcBorders>
              <w:left w:val="single" w:color="auto" w:sz="4" w:space="0"/>
              <w:right w:val="single" w:color="auto" w:sz="4" w:space="0"/>
            </w:tcBorders>
            <w:vAlign w:val="center"/>
          </w:tcPr>
          <w:p w14:paraId="082C0CB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590" w:type="dxa"/>
            <w:vMerge w:val="continue"/>
            <w:tcBorders>
              <w:top w:val="single" w:color="auto" w:sz="4" w:space="0"/>
              <w:left w:val="single" w:color="auto" w:sz="4" w:space="0"/>
              <w:bottom w:val="single" w:color="auto" w:sz="4" w:space="0"/>
              <w:right w:val="single" w:color="auto" w:sz="4" w:space="0"/>
            </w:tcBorders>
            <w:vAlign w:val="center"/>
          </w:tcPr>
          <w:p w14:paraId="1CF02D5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178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4508DF5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241412542D10</w:t>
            </w:r>
          </w:p>
        </w:tc>
        <w:tc>
          <w:tcPr>
            <w:tcW w:w="236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006CD9F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旅游文化学</w:t>
            </w:r>
          </w:p>
        </w:tc>
        <w:tc>
          <w:tcPr>
            <w:tcW w:w="62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AF16AA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r>
              <w:rPr>
                <w:rFonts w:hint="eastAsia" w:ascii="Times New Roman" w:hAnsi="Times New Roman" w:eastAsia="仿宋" w:cs="Times New Roman"/>
                <w:b w:val="0"/>
                <w:bCs w:val="0"/>
                <w:color w:val="000000" w:themeColor="text1"/>
                <w:sz w:val="24"/>
                <w:szCs w:val="24"/>
                <w14:textFill>
                  <w14:solidFill>
                    <w14:schemeClr w14:val="tx1"/>
                  </w14:solidFill>
                </w14:textFill>
              </w:rPr>
              <w:t>3</w:t>
            </w:r>
            <w:r>
              <w:rPr>
                <w:rFonts w:ascii="Times New Roman" w:hAnsi="Times New Roman" w:eastAsia="仿宋" w:cs="Times New Roman"/>
                <w:b w:val="0"/>
                <w:bCs w:val="0"/>
                <w:color w:val="000000" w:themeColor="text1"/>
                <w:sz w:val="24"/>
                <w:szCs w:val="24"/>
                <w14:textFill>
                  <w14:solidFill>
                    <w14:schemeClr w14:val="tx1"/>
                  </w14:solidFill>
                </w14:textFill>
              </w:rPr>
              <w:t>2</w:t>
            </w:r>
          </w:p>
        </w:tc>
        <w:tc>
          <w:tcPr>
            <w:tcW w:w="54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4A9692A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2</w:t>
            </w:r>
          </w:p>
        </w:tc>
        <w:tc>
          <w:tcPr>
            <w:tcW w:w="107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0D84858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春季</w:t>
            </w:r>
          </w:p>
        </w:tc>
        <w:tc>
          <w:tcPr>
            <w:tcW w:w="170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0027D3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公共管理与人文地理学院</w:t>
            </w:r>
          </w:p>
        </w:tc>
        <w:tc>
          <w:tcPr>
            <w:tcW w:w="843" w:type="dxa"/>
            <w:vMerge w:val="continue"/>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A8B125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p>
        </w:tc>
      </w:tr>
      <w:tr w14:paraId="5DAFD4FE">
        <w:tblPrEx>
          <w:tblCellMar>
            <w:top w:w="0" w:type="dxa"/>
            <w:left w:w="0" w:type="dxa"/>
            <w:bottom w:w="0" w:type="dxa"/>
            <w:right w:w="0" w:type="dxa"/>
          </w:tblCellMar>
        </w:tblPrEx>
        <w:trPr>
          <w:trHeight w:val="400" w:hRule="atLeast"/>
          <w:jc w:val="center"/>
        </w:trPr>
        <w:tc>
          <w:tcPr>
            <w:tcW w:w="526" w:type="dxa"/>
            <w:vMerge w:val="continue"/>
            <w:tcBorders>
              <w:left w:val="single" w:color="auto" w:sz="4" w:space="0"/>
              <w:right w:val="single" w:color="auto" w:sz="4" w:space="0"/>
            </w:tcBorders>
            <w:vAlign w:val="center"/>
          </w:tcPr>
          <w:p w14:paraId="7E84036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590" w:type="dxa"/>
            <w:vMerge w:val="continue"/>
            <w:tcBorders>
              <w:top w:val="single" w:color="auto" w:sz="4" w:space="0"/>
              <w:left w:val="single" w:color="auto" w:sz="4" w:space="0"/>
              <w:bottom w:val="single" w:color="auto" w:sz="4" w:space="0"/>
              <w:right w:val="single" w:color="auto" w:sz="4" w:space="0"/>
            </w:tcBorders>
            <w:vAlign w:val="center"/>
          </w:tcPr>
          <w:p w14:paraId="2984398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178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50A09EA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241412542D11</w:t>
            </w:r>
          </w:p>
        </w:tc>
        <w:tc>
          <w:tcPr>
            <w:tcW w:w="236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CF4457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OTA运营与流量管理</w:t>
            </w:r>
          </w:p>
        </w:tc>
        <w:tc>
          <w:tcPr>
            <w:tcW w:w="62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021AA2C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r>
              <w:rPr>
                <w:rFonts w:hint="eastAsia" w:ascii="Times New Roman" w:hAnsi="Times New Roman" w:eastAsia="仿宋" w:cs="Times New Roman"/>
                <w:b w:val="0"/>
                <w:bCs w:val="0"/>
                <w:color w:val="000000" w:themeColor="text1"/>
                <w:sz w:val="24"/>
                <w:szCs w:val="24"/>
                <w14:textFill>
                  <w14:solidFill>
                    <w14:schemeClr w14:val="tx1"/>
                  </w14:solidFill>
                </w14:textFill>
              </w:rPr>
              <w:t>3</w:t>
            </w:r>
            <w:r>
              <w:rPr>
                <w:rFonts w:ascii="Times New Roman" w:hAnsi="Times New Roman" w:eastAsia="仿宋" w:cs="Times New Roman"/>
                <w:b w:val="0"/>
                <w:bCs w:val="0"/>
                <w:color w:val="000000" w:themeColor="text1"/>
                <w:sz w:val="24"/>
                <w:szCs w:val="24"/>
                <w14:textFill>
                  <w14:solidFill>
                    <w14:schemeClr w14:val="tx1"/>
                  </w14:solidFill>
                </w14:textFill>
              </w:rPr>
              <w:t>2</w:t>
            </w:r>
          </w:p>
        </w:tc>
        <w:tc>
          <w:tcPr>
            <w:tcW w:w="54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52E47CD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2</w:t>
            </w:r>
          </w:p>
        </w:tc>
        <w:tc>
          <w:tcPr>
            <w:tcW w:w="107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22974E2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春季</w:t>
            </w:r>
          </w:p>
        </w:tc>
        <w:tc>
          <w:tcPr>
            <w:tcW w:w="170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219E288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公共管理与人文地理学院</w:t>
            </w:r>
          </w:p>
        </w:tc>
        <w:tc>
          <w:tcPr>
            <w:tcW w:w="843" w:type="dxa"/>
            <w:vMerge w:val="continue"/>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4B858E4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p>
        </w:tc>
      </w:tr>
      <w:tr w14:paraId="624BDC5A">
        <w:tblPrEx>
          <w:tblCellMar>
            <w:top w:w="0" w:type="dxa"/>
            <w:left w:w="0" w:type="dxa"/>
            <w:bottom w:w="0" w:type="dxa"/>
            <w:right w:w="0" w:type="dxa"/>
          </w:tblCellMar>
        </w:tblPrEx>
        <w:trPr>
          <w:trHeight w:val="675" w:hRule="atLeast"/>
          <w:jc w:val="center"/>
        </w:trPr>
        <w:tc>
          <w:tcPr>
            <w:tcW w:w="526" w:type="dxa"/>
            <w:vMerge w:val="continue"/>
            <w:tcBorders>
              <w:left w:val="single" w:color="auto" w:sz="4" w:space="0"/>
              <w:right w:val="single" w:color="auto" w:sz="4" w:space="0"/>
            </w:tcBorders>
            <w:vAlign w:val="center"/>
          </w:tcPr>
          <w:p w14:paraId="3D8AEBA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590" w:type="dxa"/>
            <w:vMerge w:val="continue"/>
            <w:tcBorders>
              <w:top w:val="single" w:color="auto" w:sz="4" w:space="0"/>
              <w:left w:val="single" w:color="auto" w:sz="4" w:space="0"/>
              <w:bottom w:val="single" w:color="auto" w:sz="4" w:space="0"/>
              <w:right w:val="single" w:color="auto" w:sz="4" w:space="0"/>
            </w:tcBorders>
            <w:vAlign w:val="center"/>
          </w:tcPr>
          <w:p w14:paraId="157EC47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178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B44444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241412542D12</w:t>
            </w:r>
          </w:p>
        </w:tc>
        <w:tc>
          <w:tcPr>
            <w:tcW w:w="2360" w:type="dxa"/>
            <w:tcBorders>
              <w:top w:val="single" w:color="auto" w:sz="4" w:space="0"/>
              <w:left w:val="single" w:color="auto" w:sz="4" w:space="0"/>
              <w:bottom w:val="single" w:color="auto" w:sz="4" w:space="0"/>
              <w:right w:val="single" w:color="auto" w:sz="4" w:space="0"/>
            </w:tcBorders>
            <w:tcMar>
              <w:top w:w="0" w:type="dxa"/>
              <w:left w:w="6" w:type="dxa"/>
              <w:bottom w:w="0" w:type="dxa"/>
              <w:right w:w="6" w:type="dxa"/>
            </w:tcMar>
            <w:vAlign w:val="center"/>
          </w:tcPr>
          <w:p w14:paraId="44FB337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低碳旅游与可持续发展</w:t>
            </w:r>
          </w:p>
        </w:tc>
        <w:tc>
          <w:tcPr>
            <w:tcW w:w="62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73F29C3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r>
              <w:rPr>
                <w:rFonts w:hint="eastAsia" w:ascii="Times New Roman" w:hAnsi="Times New Roman" w:eastAsia="仿宋" w:cs="Times New Roman"/>
                <w:b w:val="0"/>
                <w:bCs w:val="0"/>
                <w:color w:val="000000" w:themeColor="text1"/>
                <w:sz w:val="24"/>
                <w:szCs w:val="24"/>
                <w14:textFill>
                  <w14:solidFill>
                    <w14:schemeClr w14:val="tx1"/>
                  </w14:solidFill>
                </w14:textFill>
              </w:rPr>
              <w:t>3</w:t>
            </w:r>
            <w:r>
              <w:rPr>
                <w:rFonts w:ascii="Times New Roman" w:hAnsi="Times New Roman" w:eastAsia="仿宋" w:cs="Times New Roman"/>
                <w:b w:val="0"/>
                <w:bCs w:val="0"/>
                <w:color w:val="000000" w:themeColor="text1"/>
                <w:sz w:val="24"/>
                <w:szCs w:val="24"/>
                <w14:textFill>
                  <w14:solidFill>
                    <w14:schemeClr w14:val="tx1"/>
                  </w14:solidFill>
                </w14:textFill>
              </w:rPr>
              <w:t>2</w:t>
            </w:r>
          </w:p>
        </w:tc>
        <w:tc>
          <w:tcPr>
            <w:tcW w:w="54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D5F11F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2</w:t>
            </w:r>
          </w:p>
        </w:tc>
        <w:tc>
          <w:tcPr>
            <w:tcW w:w="107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0340140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春季</w:t>
            </w:r>
          </w:p>
        </w:tc>
        <w:tc>
          <w:tcPr>
            <w:tcW w:w="170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4C4E3E3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公共管理与人文地理学院</w:t>
            </w:r>
          </w:p>
        </w:tc>
        <w:tc>
          <w:tcPr>
            <w:tcW w:w="843" w:type="dxa"/>
            <w:vMerge w:val="continue"/>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70B4C73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p>
        </w:tc>
      </w:tr>
      <w:tr w14:paraId="0A3DE569">
        <w:tblPrEx>
          <w:tblCellMar>
            <w:top w:w="0" w:type="dxa"/>
            <w:left w:w="0" w:type="dxa"/>
            <w:bottom w:w="0" w:type="dxa"/>
            <w:right w:w="0" w:type="dxa"/>
          </w:tblCellMar>
        </w:tblPrEx>
        <w:trPr>
          <w:trHeight w:val="676" w:hRule="atLeast"/>
          <w:jc w:val="center"/>
        </w:trPr>
        <w:tc>
          <w:tcPr>
            <w:tcW w:w="526" w:type="dxa"/>
            <w:vMerge w:val="continue"/>
            <w:tcBorders>
              <w:left w:val="single" w:color="auto" w:sz="4" w:space="0"/>
              <w:right w:val="single" w:color="auto" w:sz="4" w:space="0"/>
            </w:tcBorders>
            <w:vAlign w:val="center"/>
          </w:tcPr>
          <w:p w14:paraId="1351524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590" w:type="dxa"/>
            <w:vMerge w:val="continue"/>
            <w:tcBorders>
              <w:top w:val="single" w:color="auto" w:sz="4" w:space="0"/>
              <w:left w:val="single" w:color="auto" w:sz="4" w:space="0"/>
              <w:bottom w:val="single" w:color="auto" w:sz="4" w:space="0"/>
              <w:right w:val="single" w:color="auto" w:sz="4" w:space="0"/>
            </w:tcBorders>
            <w:vAlign w:val="center"/>
          </w:tcPr>
          <w:p w14:paraId="31CDF84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178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45BACC7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241412542D1</w:t>
            </w:r>
            <w:r>
              <w:rPr>
                <w:rFonts w:hint="eastAsia" w:ascii="Times New Roman" w:hAnsi="Times New Roman" w:eastAsia="仿宋" w:cs="Times New Roman"/>
                <w:b w:val="0"/>
                <w:bCs w:val="0"/>
                <w:color w:val="000000" w:themeColor="text1"/>
                <w:sz w:val="24"/>
                <w:szCs w:val="24"/>
                <w14:textFill>
                  <w14:solidFill>
                    <w14:schemeClr w14:val="tx1"/>
                  </w14:solidFill>
                </w14:textFill>
              </w:rPr>
              <w:t>3</w:t>
            </w:r>
          </w:p>
        </w:tc>
        <w:tc>
          <w:tcPr>
            <w:tcW w:w="236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2A435AD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r>
              <w:rPr>
                <w:rFonts w:hint="eastAsia" w:ascii="Times New Roman" w:hAnsi="Times New Roman" w:eastAsia="仿宋" w:cs="Times New Roman"/>
                <w:b w:val="0"/>
                <w:bCs w:val="0"/>
                <w:color w:val="000000" w:themeColor="text1"/>
                <w:sz w:val="24"/>
                <w:szCs w:val="24"/>
                <w14:textFill>
                  <w14:solidFill>
                    <w14:schemeClr w14:val="tx1"/>
                  </w14:solidFill>
                </w14:textFill>
              </w:rPr>
              <w:t>接待业管理</w:t>
            </w:r>
          </w:p>
        </w:tc>
        <w:tc>
          <w:tcPr>
            <w:tcW w:w="62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75016B0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r>
              <w:rPr>
                <w:rFonts w:hint="eastAsia" w:ascii="Times New Roman" w:hAnsi="Times New Roman" w:eastAsia="仿宋" w:cs="Times New Roman"/>
                <w:b w:val="0"/>
                <w:bCs w:val="0"/>
                <w:color w:val="000000" w:themeColor="text1"/>
                <w:sz w:val="24"/>
                <w:szCs w:val="24"/>
                <w14:textFill>
                  <w14:solidFill>
                    <w14:schemeClr w14:val="tx1"/>
                  </w14:solidFill>
                </w14:textFill>
              </w:rPr>
              <w:t>3</w:t>
            </w:r>
            <w:r>
              <w:rPr>
                <w:rFonts w:ascii="Times New Roman" w:hAnsi="Times New Roman" w:eastAsia="仿宋" w:cs="Times New Roman"/>
                <w:b w:val="0"/>
                <w:bCs w:val="0"/>
                <w:color w:val="000000" w:themeColor="text1"/>
                <w:sz w:val="24"/>
                <w:szCs w:val="24"/>
                <w14:textFill>
                  <w14:solidFill>
                    <w14:schemeClr w14:val="tx1"/>
                  </w14:solidFill>
                </w14:textFill>
              </w:rPr>
              <w:t>2</w:t>
            </w:r>
          </w:p>
        </w:tc>
        <w:tc>
          <w:tcPr>
            <w:tcW w:w="54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52740C3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2</w:t>
            </w:r>
          </w:p>
        </w:tc>
        <w:tc>
          <w:tcPr>
            <w:tcW w:w="107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4904780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春季</w:t>
            </w:r>
          </w:p>
        </w:tc>
        <w:tc>
          <w:tcPr>
            <w:tcW w:w="170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4B7EC37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公共管理与人文地理学院</w:t>
            </w:r>
          </w:p>
        </w:tc>
        <w:tc>
          <w:tcPr>
            <w:tcW w:w="843" w:type="dxa"/>
            <w:vMerge w:val="continue"/>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591EB62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p>
        </w:tc>
      </w:tr>
      <w:tr w14:paraId="4CA34124">
        <w:tblPrEx>
          <w:tblCellMar>
            <w:top w:w="0" w:type="dxa"/>
            <w:left w:w="0" w:type="dxa"/>
            <w:bottom w:w="0" w:type="dxa"/>
            <w:right w:w="0" w:type="dxa"/>
          </w:tblCellMar>
        </w:tblPrEx>
        <w:trPr>
          <w:trHeight w:val="400" w:hRule="atLeast"/>
          <w:jc w:val="center"/>
        </w:trPr>
        <w:tc>
          <w:tcPr>
            <w:tcW w:w="526" w:type="dxa"/>
            <w:vMerge w:val="continue"/>
            <w:tcBorders>
              <w:left w:val="single" w:color="auto" w:sz="4" w:space="0"/>
              <w:right w:val="single" w:color="auto" w:sz="4" w:space="0"/>
            </w:tcBorders>
            <w:vAlign w:val="center"/>
          </w:tcPr>
          <w:p w14:paraId="0396A35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590" w:type="dxa"/>
            <w:vMerge w:val="continue"/>
            <w:tcBorders>
              <w:top w:val="single" w:color="auto" w:sz="4" w:space="0"/>
              <w:left w:val="single" w:color="auto" w:sz="4" w:space="0"/>
              <w:bottom w:val="single" w:color="auto" w:sz="4" w:space="0"/>
              <w:right w:val="single" w:color="auto" w:sz="4" w:space="0"/>
            </w:tcBorders>
            <w:vAlign w:val="center"/>
          </w:tcPr>
          <w:p w14:paraId="450440C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4140"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4F35F0C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bCs/>
                <w:color w:val="000000" w:themeColor="text1"/>
                <w:sz w:val="24"/>
                <w:szCs w:val="24"/>
                <w:lang w:val="zh-CN"/>
                <w14:textFill>
                  <w14:solidFill>
                    <w14:schemeClr w14:val="tx1"/>
                  </w14:solidFill>
                </w14:textFill>
              </w:rPr>
            </w:pPr>
            <w:r>
              <w:rPr>
                <w:rFonts w:ascii="Times New Roman" w:hAnsi="Times New Roman" w:eastAsia="仿宋" w:cs="Times New Roman"/>
                <w:b/>
                <w:bCs/>
                <w:color w:val="000000" w:themeColor="text1"/>
                <w:sz w:val="24"/>
                <w:szCs w:val="24"/>
                <w:lang w:val="zh-CN"/>
                <w14:textFill>
                  <w14:solidFill>
                    <w14:schemeClr w14:val="tx1"/>
                  </w14:solidFill>
                </w14:textFill>
              </w:rPr>
              <w:t>小计</w:t>
            </w:r>
          </w:p>
        </w:tc>
        <w:tc>
          <w:tcPr>
            <w:tcW w:w="62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362DE0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r>
              <w:rPr>
                <w:rFonts w:ascii="Times New Roman" w:hAnsi="Times New Roman" w:eastAsia="仿宋" w:cs="Times New Roman"/>
                <w:b/>
                <w:bCs/>
                <w:color w:val="000000" w:themeColor="text1"/>
                <w:sz w:val="24"/>
                <w:szCs w:val="24"/>
                <w14:textFill>
                  <w14:solidFill>
                    <w14:schemeClr w14:val="tx1"/>
                  </w14:solidFill>
                </w14:textFill>
              </w:rPr>
              <w:t>80</w:t>
            </w:r>
          </w:p>
        </w:tc>
        <w:tc>
          <w:tcPr>
            <w:tcW w:w="54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2EBB2C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r>
              <w:rPr>
                <w:rFonts w:ascii="Times New Roman" w:hAnsi="Times New Roman" w:eastAsia="仿宋" w:cs="Times New Roman"/>
                <w:b/>
                <w:bCs/>
                <w:color w:val="000000" w:themeColor="text1"/>
                <w:sz w:val="24"/>
                <w:szCs w:val="24"/>
                <w14:textFill>
                  <w14:solidFill>
                    <w14:schemeClr w14:val="tx1"/>
                  </w14:solidFill>
                </w14:textFill>
              </w:rPr>
              <w:t>5</w:t>
            </w:r>
          </w:p>
        </w:tc>
        <w:tc>
          <w:tcPr>
            <w:tcW w:w="107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0736D4D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bCs/>
                <w:color w:val="000000" w:themeColor="text1"/>
                <w:sz w:val="24"/>
                <w:szCs w:val="24"/>
                <w:lang w:val="zh-CN"/>
                <w14:textFill>
                  <w14:solidFill>
                    <w14:schemeClr w14:val="tx1"/>
                  </w14:solidFill>
                </w14:textFill>
              </w:rPr>
            </w:pPr>
          </w:p>
        </w:tc>
        <w:tc>
          <w:tcPr>
            <w:tcW w:w="170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5D8FED5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p>
        </w:tc>
        <w:tc>
          <w:tcPr>
            <w:tcW w:w="84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7590BCA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p>
        </w:tc>
      </w:tr>
      <w:tr w14:paraId="3CC01B5D">
        <w:tblPrEx>
          <w:tblCellMar>
            <w:top w:w="0" w:type="dxa"/>
            <w:left w:w="0" w:type="dxa"/>
            <w:bottom w:w="0" w:type="dxa"/>
            <w:right w:w="0" w:type="dxa"/>
          </w:tblCellMar>
        </w:tblPrEx>
        <w:trPr>
          <w:trHeight w:val="400" w:hRule="atLeast"/>
          <w:jc w:val="center"/>
        </w:trPr>
        <w:tc>
          <w:tcPr>
            <w:tcW w:w="526" w:type="dxa"/>
            <w:vMerge w:val="continue"/>
            <w:tcBorders>
              <w:left w:val="single" w:color="auto" w:sz="4" w:space="0"/>
              <w:right w:val="single" w:color="auto" w:sz="4" w:space="0"/>
            </w:tcBorders>
            <w:vAlign w:val="center"/>
          </w:tcPr>
          <w:p w14:paraId="2E06EB8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590" w:type="dxa"/>
            <w:vMerge w:val="restart"/>
            <w:tcBorders>
              <w:top w:val="single" w:color="auto" w:sz="4" w:space="0"/>
              <w:left w:val="single" w:color="auto" w:sz="4" w:space="0"/>
              <w:right w:val="single" w:color="auto" w:sz="4" w:space="0"/>
            </w:tcBorders>
            <w:vAlign w:val="center"/>
          </w:tcPr>
          <w:p w14:paraId="6FAC027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Times New Roman" w:hAnsi="Times New Roman" w:eastAsia="仿宋" w:cs="Times New Roman"/>
                <w:b/>
                <w:bCs/>
                <w:color w:val="000000" w:themeColor="text1"/>
                <w:sz w:val="24"/>
                <w:szCs w:val="24"/>
                <w14:textFill>
                  <w14:solidFill>
                    <w14:schemeClr w14:val="tx1"/>
                  </w14:solidFill>
                </w14:textFill>
              </w:rPr>
            </w:pPr>
            <w:r>
              <w:rPr>
                <w:rFonts w:ascii="Times New Roman" w:hAnsi="Times New Roman" w:eastAsia="仿宋" w:cs="Times New Roman"/>
                <w:b/>
                <w:bCs/>
                <w:color w:val="000000" w:themeColor="text1"/>
                <w:sz w:val="24"/>
                <w:szCs w:val="24"/>
                <w14:textFill>
                  <w14:solidFill>
                    <w14:schemeClr w14:val="tx1"/>
                  </w14:solidFill>
                </w14:textFill>
              </w:rPr>
              <w:t>素</w:t>
            </w:r>
          </w:p>
          <w:p w14:paraId="0195BAE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Times New Roman" w:hAnsi="Times New Roman" w:eastAsia="仿宋" w:cs="Times New Roman"/>
                <w:b/>
                <w:bCs/>
                <w:color w:val="000000" w:themeColor="text1"/>
                <w:sz w:val="24"/>
                <w:szCs w:val="24"/>
                <w14:textFill>
                  <w14:solidFill>
                    <w14:schemeClr w14:val="tx1"/>
                  </w14:solidFill>
                </w14:textFill>
              </w:rPr>
            </w:pPr>
            <w:r>
              <w:rPr>
                <w:rFonts w:ascii="Times New Roman" w:hAnsi="Times New Roman" w:eastAsia="仿宋" w:cs="Times New Roman"/>
                <w:b/>
                <w:bCs/>
                <w:color w:val="000000" w:themeColor="text1"/>
                <w:sz w:val="24"/>
                <w:szCs w:val="24"/>
                <w14:textFill>
                  <w14:solidFill>
                    <w14:schemeClr w14:val="tx1"/>
                  </w14:solidFill>
                </w14:textFill>
              </w:rPr>
              <w:t>质</w:t>
            </w:r>
          </w:p>
          <w:p w14:paraId="6B0A60A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Times New Roman" w:hAnsi="Times New Roman" w:eastAsia="仿宋" w:cs="Times New Roman"/>
                <w:b/>
                <w:bCs/>
                <w:color w:val="000000" w:themeColor="text1"/>
                <w:sz w:val="24"/>
                <w:szCs w:val="24"/>
                <w14:textFill>
                  <w14:solidFill>
                    <w14:schemeClr w14:val="tx1"/>
                  </w14:solidFill>
                </w14:textFill>
              </w:rPr>
            </w:pPr>
            <w:r>
              <w:rPr>
                <w:rFonts w:ascii="Times New Roman" w:hAnsi="Times New Roman" w:eastAsia="仿宋" w:cs="Times New Roman"/>
                <w:b/>
                <w:bCs/>
                <w:color w:val="000000" w:themeColor="text1"/>
                <w:sz w:val="24"/>
                <w:szCs w:val="24"/>
                <w14:textFill>
                  <w14:solidFill>
                    <w14:schemeClr w14:val="tx1"/>
                  </w14:solidFill>
                </w14:textFill>
              </w:rPr>
              <w:t>选</w:t>
            </w:r>
          </w:p>
          <w:p w14:paraId="4227922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Times New Roman" w:hAnsi="Times New Roman" w:eastAsia="仿宋" w:cs="Times New Roman"/>
                <w:b/>
                <w:bCs/>
                <w:color w:val="000000" w:themeColor="text1"/>
                <w:sz w:val="24"/>
                <w:szCs w:val="24"/>
                <w14:textFill>
                  <w14:solidFill>
                    <w14:schemeClr w14:val="tx1"/>
                  </w14:solidFill>
                </w14:textFill>
              </w:rPr>
            </w:pPr>
            <w:r>
              <w:rPr>
                <w:rFonts w:ascii="Times New Roman" w:hAnsi="Times New Roman" w:eastAsia="仿宋" w:cs="Times New Roman"/>
                <w:b/>
                <w:bCs/>
                <w:color w:val="000000" w:themeColor="text1"/>
                <w:sz w:val="24"/>
                <w:szCs w:val="24"/>
                <w14:textFill>
                  <w14:solidFill>
                    <w14:schemeClr w14:val="tx1"/>
                  </w14:solidFill>
                </w14:textFill>
              </w:rPr>
              <w:t>修</w:t>
            </w:r>
          </w:p>
          <w:p w14:paraId="7B067E1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r>
              <w:rPr>
                <w:rFonts w:ascii="Times New Roman" w:hAnsi="Times New Roman" w:eastAsia="仿宋" w:cs="Times New Roman"/>
                <w:b/>
                <w:bCs/>
                <w:color w:val="000000" w:themeColor="text1"/>
                <w:sz w:val="24"/>
                <w:szCs w:val="24"/>
                <w14:textFill>
                  <w14:solidFill>
                    <w14:schemeClr w14:val="tx1"/>
                  </w14:solidFill>
                </w14:textFill>
              </w:rPr>
              <w:t>课</w:t>
            </w:r>
          </w:p>
        </w:tc>
        <w:tc>
          <w:tcPr>
            <w:tcW w:w="178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4320925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bidi="ar"/>
                <w14:textFill>
                  <w14:solidFill>
                    <w14:schemeClr w14:val="tx1"/>
                  </w14:solidFill>
                </w14:textFill>
              </w:rPr>
              <w:t>240100002D01</w:t>
            </w:r>
          </w:p>
        </w:tc>
        <w:tc>
          <w:tcPr>
            <w:tcW w:w="236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539A3CC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bidi="ar"/>
                <w14:textFill>
                  <w14:solidFill>
                    <w14:schemeClr w14:val="tx1"/>
                  </w14:solidFill>
                </w14:textFill>
              </w:rPr>
              <w:t>大数据管理导论</w:t>
            </w:r>
          </w:p>
        </w:tc>
        <w:tc>
          <w:tcPr>
            <w:tcW w:w="62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5F19F10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hint="eastAsia" w:ascii="Times New Roman" w:hAnsi="Times New Roman" w:eastAsia="仿宋" w:cs="Times New Roman"/>
                <w:b w:val="0"/>
                <w:bCs w:val="0"/>
                <w:color w:val="000000" w:themeColor="text1"/>
                <w:sz w:val="24"/>
                <w:szCs w:val="24"/>
                <w:lang w:bidi="ar"/>
                <w14:textFill>
                  <w14:solidFill>
                    <w14:schemeClr w14:val="tx1"/>
                  </w14:solidFill>
                </w14:textFill>
              </w:rPr>
              <w:t>1</w:t>
            </w:r>
            <w:r>
              <w:rPr>
                <w:rFonts w:ascii="Times New Roman" w:hAnsi="Times New Roman" w:eastAsia="仿宋" w:cs="Times New Roman"/>
                <w:b w:val="0"/>
                <w:bCs w:val="0"/>
                <w:color w:val="000000" w:themeColor="text1"/>
                <w:sz w:val="24"/>
                <w:szCs w:val="24"/>
                <w:lang w:bidi="ar"/>
                <w14:textFill>
                  <w14:solidFill>
                    <w14:schemeClr w14:val="tx1"/>
                  </w14:solidFill>
                </w14:textFill>
              </w:rPr>
              <w:t>6</w:t>
            </w:r>
          </w:p>
        </w:tc>
        <w:tc>
          <w:tcPr>
            <w:tcW w:w="54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0140CB3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bidi="ar"/>
                <w14:textFill>
                  <w14:solidFill>
                    <w14:schemeClr w14:val="tx1"/>
                  </w14:solidFill>
                </w14:textFill>
              </w:rPr>
              <w:t>1</w:t>
            </w:r>
          </w:p>
        </w:tc>
        <w:tc>
          <w:tcPr>
            <w:tcW w:w="107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411946A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bidi="ar"/>
                <w14:textFill>
                  <w14:solidFill>
                    <w14:schemeClr w14:val="tx1"/>
                  </w14:solidFill>
                </w14:textFill>
              </w:rPr>
              <w:t>秋季</w:t>
            </w:r>
          </w:p>
        </w:tc>
        <w:tc>
          <w:tcPr>
            <w:tcW w:w="170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01B945A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bidi="ar"/>
                <w14:textFill>
                  <w14:solidFill>
                    <w14:schemeClr w14:val="tx1"/>
                  </w14:solidFill>
                </w14:textFill>
              </w:rPr>
              <w:t>前沿交叉学院</w:t>
            </w:r>
          </w:p>
        </w:tc>
        <w:tc>
          <w:tcPr>
            <w:tcW w:w="843" w:type="dxa"/>
            <w:vMerge w:val="restar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798F3AE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Times New Roman" w:hAnsi="Times New Roman" w:eastAsia="仿宋" w:cs="Times New Roman"/>
                <w:b w:val="0"/>
                <w:bCs w:val="0"/>
                <w:color w:val="000000" w:themeColor="text1"/>
                <w:sz w:val="24"/>
                <w:szCs w:val="24"/>
                <w14:textFill>
                  <w14:solidFill>
                    <w14:schemeClr w14:val="tx1"/>
                  </w14:solidFill>
                </w14:textFill>
              </w:rPr>
            </w:pPr>
          </w:p>
          <w:p w14:paraId="7BE2B84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Times New Roman" w:hAnsi="Times New Roman" w:eastAsia="仿宋" w:cs="Times New Roman"/>
                <w:b w:val="0"/>
                <w:bCs w:val="0"/>
                <w:color w:val="000000" w:themeColor="text1"/>
                <w:sz w:val="24"/>
                <w:szCs w:val="24"/>
                <w14:textFill>
                  <w14:solidFill>
                    <w14:schemeClr w14:val="tx1"/>
                  </w14:solidFill>
                </w14:textFill>
              </w:rPr>
            </w:pPr>
          </w:p>
          <w:p w14:paraId="3BB2284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选修2学分</w:t>
            </w:r>
          </w:p>
        </w:tc>
      </w:tr>
      <w:tr w14:paraId="1BAF6A04">
        <w:tblPrEx>
          <w:tblCellMar>
            <w:top w:w="0" w:type="dxa"/>
            <w:left w:w="0" w:type="dxa"/>
            <w:bottom w:w="0" w:type="dxa"/>
            <w:right w:w="0" w:type="dxa"/>
          </w:tblCellMar>
        </w:tblPrEx>
        <w:trPr>
          <w:trHeight w:val="400" w:hRule="atLeast"/>
          <w:jc w:val="center"/>
        </w:trPr>
        <w:tc>
          <w:tcPr>
            <w:tcW w:w="526" w:type="dxa"/>
            <w:vMerge w:val="continue"/>
            <w:tcBorders>
              <w:left w:val="single" w:color="auto" w:sz="4" w:space="0"/>
              <w:right w:val="single" w:color="auto" w:sz="4" w:space="0"/>
            </w:tcBorders>
            <w:vAlign w:val="center"/>
          </w:tcPr>
          <w:p w14:paraId="30E69B0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590" w:type="dxa"/>
            <w:vMerge w:val="continue"/>
            <w:tcBorders>
              <w:left w:val="single" w:color="auto" w:sz="4" w:space="0"/>
              <w:right w:val="single" w:color="auto" w:sz="4" w:space="0"/>
            </w:tcBorders>
            <w:vAlign w:val="center"/>
          </w:tcPr>
          <w:p w14:paraId="19D5FFA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178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41BDBF0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bidi="ar"/>
                <w14:textFill>
                  <w14:solidFill>
                    <w14:schemeClr w14:val="tx1"/>
                  </w14:solidFill>
                </w14:textFill>
              </w:rPr>
              <w:t>240100002D02</w:t>
            </w:r>
          </w:p>
        </w:tc>
        <w:tc>
          <w:tcPr>
            <w:tcW w:w="236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27553D3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bidi="ar"/>
                <w14:textFill>
                  <w14:solidFill>
                    <w14:schemeClr w14:val="tx1"/>
                  </w14:solidFill>
                </w14:textFill>
              </w:rPr>
              <w:t>人工智能应用技术</w:t>
            </w:r>
          </w:p>
        </w:tc>
        <w:tc>
          <w:tcPr>
            <w:tcW w:w="62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0C1A352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hint="eastAsia" w:ascii="Times New Roman" w:hAnsi="Times New Roman" w:eastAsia="仿宋" w:cs="Times New Roman"/>
                <w:b w:val="0"/>
                <w:bCs w:val="0"/>
                <w:color w:val="000000" w:themeColor="text1"/>
                <w:sz w:val="24"/>
                <w:szCs w:val="24"/>
                <w:lang w:bidi="ar"/>
                <w14:textFill>
                  <w14:solidFill>
                    <w14:schemeClr w14:val="tx1"/>
                  </w14:solidFill>
                </w14:textFill>
              </w:rPr>
              <w:t>1</w:t>
            </w:r>
            <w:r>
              <w:rPr>
                <w:rFonts w:ascii="Times New Roman" w:hAnsi="Times New Roman" w:eastAsia="仿宋" w:cs="Times New Roman"/>
                <w:b w:val="0"/>
                <w:bCs w:val="0"/>
                <w:color w:val="000000" w:themeColor="text1"/>
                <w:sz w:val="24"/>
                <w:szCs w:val="24"/>
                <w:lang w:bidi="ar"/>
                <w14:textFill>
                  <w14:solidFill>
                    <w14:schemeClr w14:val="tx1"/>
                  </w14:solidFill>
                </w14:textFill>
              </w:rPr>
              <w:t>6</w:t>
            </w:r>
          </w:p>
        </w:tc>
        <w:tc>
          <w:tcPr>
            <w:tcW w:w="54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4751E2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bidi="ar"/>
                <w14:textFill>
                  <w14:solidFill>
                    <w14:schemeClr w14:val="tx1"/>
                  </w14:solidFill>
                </w14:textFill>
              </w:rPr>
              <w:t>1</w:t>
            </w:r>
          </w:p>
        </w:tc>
        <w:tc>
          <w:tcPr>
            <w:tcW w:w="107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7C11F4C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bidi="ar"/>
                <w14:textFill>
                  <w14:solidFill>
                    <w14:schemeClr w14:val="tx1"/>
                  </w14:solidFill>
                </w14:textFill>
              </w:rPr>
              <w:t>春季</w:t>
            </w:r>
          </w:p>
        </w:tc>
        <w:tc>
          <w:tcPr>
            <w:tcW w:w="170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57E9B01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bidi="ar"/>
                <w14:textFill>
                  <w14:solidFill>
                    <w14:schemeClr w14:val="tx1"/>
                  </w14:solidFill>
                </w14:textFill>
              </w:rPr>
              <w:t>前沿交叉学院</w:t>
            </w:r>
          </w:p>
        </w:tc>
        <w:tc>
          <w:tcPr>
            <w:tcW w:w="843" w:type="dxa"/>
            <w:vMerge w:val="continue"/>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B147A9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p>
        </w:tc>
      </w:tr>
      <w:tr w14:paraId="5E3AE274">
        <w:tblPrEx>
          <w:tblCellMar>
            <w:top w:w="0" w:type="dxa"/>
            <w:left w:w="0" w:type="dxa"/>
            <w:bottom w:w="0" w:type="dxa"/>
            <w:right w:w="0" w:type="dxa"/>
          </w:tblCellMar>
        </w:tblPrEx>
        <w:trPr>
          <w:trHeight w:val="400" w:hRule="atLeast"/>
          <w:jc w:val="center"/>
        </w:trPr>
        <w:tc>
          <w:tcPr>
            <w:tcW w:w="526" w:type="dxa"/>
            <w:vMerge w:val="continue"/>
            <w:tcBorders>
              <w:left w:val="single" w:color="auto" w:sz="4" w:space="0"/>
              <w:right w:val="single" w:color="auto" w:sz="4" w:space="0"/>
            </w:tcBorders>
            <w:vAlign w:val="center"/>
          </w:tcPr>
          <w:p w14:paraId="3382E4A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590" w:type="dxa"/>
            <w:vMerge w:val="continue"/>
            <w:tcBorders>
              <w:left w:val="single" w:color="auto" w:sz="4" w:space="0"/>
              <w:right w:val="single" w:color="auto" w:sz="4" w:space="0"/>
            </w:tcBorders>
            <w:vAlign w:val="center"/>
          </w:tcPr>
          <w:p w14:paraId="3F8AECA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178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4FA4B00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bidi="ar"/>
                <w14:textFill>
                  <w14:solidFill>
                    <w14:schemeClr w14:val="tx1"/>
                  </w14:solidFill>
                </w14:textFill>
              </w:rPr>
              <w:t>242000002D01</w:t>
            </w:r>
          </w:p>
        </w:tc>
        <w:tc>
          <w:tcPr>
            <w:tcW w:w="236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7C02110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bidi="ar"/>
                <w14:textFill>
                  <w14:solidFill>
                    <w14:schemeClr w14:val="tx1"/>
                  </w14:solidFill>
                </w14:textFill>
              </w:rPr>
              <w:t>中外音乐赏析</w:t>
            </w:r>
          </w:p>
        </w:tc>
        <w:tc>
          <w:tcPr>
            <w:tcW w:w="62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7654FA0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hint="eastAsia" w:ascii="Times New Roman" w:hAnsi="Times New Roman" w:eastAsia="仿宋" w:cs="Times New Roman"/>
                <w:b w:val="0"/>
                <w:bCs w:val="0"/>
                <w:color w:val="000000" w:themeColor="text1"/>
                <w:sz w:val="24"/>
                <w:szCs w:val="24"/>
                <w:lang w:bidi="ar"/>
                <w14:textFill>
                  <w14:solidFill>
                    <w14:schemeClr w14:val="tx1"/>
                  </w14:solidFill>
                </w14:textFill>
              </w:rPr>
              <w:t>1</w:t>
            </w:r>
            <w:r>
              <w:rPr>
                <w:rFonts w:ascii="Times New Roman" w:hAnsi="Times New Roman" w:eastAsia="仿宋" w:cs="Times New Roman"/>
                <w:b w:val="0"/>
                <w:bCs w:val="0"/>
                <w:color w:val="000000" w:themeColor="text1"/>
                <w:sz w:val="24"/>
                <w:szCs w:val="24"/>
                <w:lang w:bidi="ar"/>
                <w14:textFill>
                  <w14:solidFill>
                    <w14:schemeClr w14:val="tx1"/>
                  </w14:solidFill>
                </w14:textFill>
              </w:rPr>
              <w:t>6</w:t>
            </w:r>
          </w:p>
        </w:tc>
        <w:tc>
          <w:tcPr>
            <w:tcW w:w="54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5081A4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bidi="ar"/>
                <w14:textFill>
                  <w14:solidFill>
                    <w14:schemeClr w14:val="tx1"/>
                  </w14:solidFill>
                </w14:textFill>
              </w:rPr>
              <w:t>1</w:t>
            </w:r>
          </w:p>
        </w:tc>
        <w:tc>
          <w:tcPr>
            <w:tcW w:w="107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7C91C66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bidi="ar"/>
                <w14:textFill>
                  <w14:solidFill>
                    <w14:schemeClr w14:val="tx1"/>
                  </w14:solidFill>
                </w14:textFill>
              </w:rPr>
              <w:t>春季</w:t>
            </w:r>
          </w:p>
        </w:tc>
        <w:tc>
          <w:tcPr>
            <w:tcW w:w="170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7F74C39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bidi="ar"/>
                <w14:textFill>
                  <w14:solidFill>
                    <w14:schemeClr w14:val="tx1"/>
                  </w14:solidFill>
                </w14:textFill>
              </w:rPr>
              <w:t>音乐学院</w:t>
            </w:r>
          </w:p>
        </w:tc>
        <w:tc>
          <w:tcPr>
            <w:tcW w:w="843" w:type="dxa"/>
            <w:vMerge w:val="continue"/>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D7F786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p>
        </w:tc>
      </w:tr>
      <w:tr w14:paraId="085E3CF8">
        <w:tblPrEx>
          <w:tblCellMar>
            <w:top w:w="0" w:type="dxa"/>
            <w:left w:w="0" w:type="dxa"/>
            <w:bottom w:w="0" w:type="dxa"/>
            <w:right w:w="0" w:type="dxa"/>
          </w:tblCellMar>
        </w:tblPrEx>
        <w:trPr>
          <w:trHeight w:val="400" w:hRule="atLeast"/>
          <w:jc w:val="center"/>
        </w:trPr>
        <w:tc>
          <w:tcPr>
            <w:tcW w:w="526" w:type="dxa"/>
            <w:vMerge w:val="continue"/>
            <w:tcBorders>
              <w:left w:val="single" w:color="auto" w:sz="4" w:space="0"/>
              <w:right w:val="single" w:color="auto" w:sz="4" w:space="0"/>
            </w:tcBorders>
            <w:vAlign w:val="center"/>
          </w:tcPr>
          <w:p w14:paraId="140E709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590" w:type="dxa"/>
            <w:vMerge w:val="continue"/>
            <w:tcBorders>
              <w:left w:val="single" w:color="auto" w:sz="4" w:space="0"/>
              <w:right w:val="single" w:color="auto" w:sz="4" w:space="0"/>
            </w:tcBorders>
            <w:vAlign w:val="center"/>
          </w:tcPr>
          <w:p w14:paraId="0901C1F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178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237A352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bidi="ar"/>
                <w14:textFill>
                  <w14:solidFill>
                    <w14:schemeClr w14:val="tx1"/>
                  </w14:solidFill>
                </w14:textFill>
              </w:rPr>
              <w:t>240600002D01</w:t>
            </w:r>
          </w:p>
        </w:tc>
        <w:tc>
          <w:tcPr>
            <w:tcW w:w="236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2255397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bidi="ar"/>
                <w14:textFill>
                  <w14:solidFill>
                    <w14:schemeClr w14:val="tx1"/>
                  </w14:solidFill>
                </w14:textFill>
              </w:rPr>
              <w:t>云计算与大数据</w:t>
            </w:r>
          </w:p>
        </w:tc>
        <w:tc>
          <w:tcPr>
            <w:tcW w:w="62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A8B259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hint="eastAsia" w:ascii="Times New Roman" w:hAnsi="Times New Roman" w:eastAsia="仿宋" w:cs="Times New Roman"/>
                <w:b w:val="0"/>
                <w:bCs w:val="0"/>
                <w:color w:val="000000" w:themeColor="text1"/>
                <w:sz w:val="24"/>
                <w:szCs w:val="24"/>
                <w:lang w:bidi="ar"/>
                <w14:textFill>
                  <w14:solidFill>
                    <w14:schemeClr w14:val="tx1"/>
                  </w14:solidFill>
                </w14:textFill>
              </w:rPr>
              <w:t>1</w:t>
            </w:r>
            <w:r>
              <w:rPr>
                <w:rFonts w:ascii="Times New Roman" w:hAnsi="Times New Roman" w:eastAsia="仿宋" w:cs="Times New Roman"/>
                <w:b w:val="0"/>
                <w:bCs w:val="0"/>
                <w:color w:val="000000" w:themeColor="text1"/>
                <w:sz w:val="24"/>
                <w:szCs w:val="24"/>
                <w:lang w:bidi="ar"/>
                <w14:textFill>
                  <w14:solidFill>
                    <w14:schemeClr w14:val="tx1"/>
                  </w14:solidFill>
                </w14:textFill>
              </w:rPr>
              <w:t>6</w:t>
            </w:r>
          </w:p>
        </w:tc>
        <w:tc>
          <w:tcPr>
            <w:tcW w:w="54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072EAA2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bidi="ar"/>
                <w14:textFill>
                  <w14:solidFill>
                    <w14:schemeClr w14:val="tx1"/>
                  </w14:solidFill>
                </w14:textFill>
              </w:rPr>
              <w:t>1</w:t>
            </w:r>
          </w:p>
        </w:tc>
        <w:tc>
          <w:tcPr>
            <w:tcW w:w="107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2E27BB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bidi="ar"/>
                <w14:textFill>
                  <w14:solidFill>
                    <w14:schemeClr w14:val="tx1"/>
                  </w14:solidFill>
                </w14:textFill>
              </w:rPr>
              <w:t>秋季</w:t>
            </w:r>
          </w:p>
        </w:tc>
        <w:tc>
          <w:tcPr>
            <w:tcW w:w="170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5B0498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bidi="ar"/>
                <w14:textFill>
                  <w14:solidFill>
                    <w14:schemeClr w14:val="tx1"/>
                  </w14:solidFill>
                </w14:textFill>
              </w:rPr>
              <w:t>计算机学院</w:t>
            </w:r>
          </w:p>
        </w:tc>
        <w:tc>
          <w:tcPr>
            <w:tcW w:w="843" w:type="dxa"/>
            <w:vMerge w:val="continue"/>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4700E50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p>
        </w:tc>
      </w:tr>
      <w:tr w14:paraId="50EE3FDC">
        <w:tblPrEx>
          <w:tblCellMar>
            <w:top w:w="0" w:type="dxa"/>
            <w:left w:w="0" w:type="dxa"/>
            <w:bottom w:w="0" w:type="dxa"/>
            <w:right w:w="0" w:type="dxa"/>
          </w:tblCellMar>
        </w:tblPrEx>
        <w:trPr>
          <w:trHeight w:val="403" w:hRule="atLeast"/>
          <w:jc w:val="center"/>
        </w:trPr>
        <w:tc>
          <w:tcPr>
            <w:tcW w:w="526" w:type="dxa"/>
            <w:vMerge w:val="continue"/>
            <w:tcBorders>
              <w:left w:val="single" w:color="auto" w:sz="4" w:space="0"/>
              <w:right w:val="single" w:color="auto" w:sz="4" w:space="0"/>
            </w:tcBorders>
            <w:vAlign w:val="center"/>
          </w:tcPr>
          <w:p w14:paraId="2255B54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590" w:type="dxa"/>
            <w:vMerge w:val="continue"/>
            <w:tcBorders>
              <w:left w:val="single" w:color="auto" w:sz="4" w:space="0"/>
              <w:right w:val="single" w:color="auto" w:sz="4" w:space="0"/>
            </w:tcBorders>
            <w:vAlign w:val="center"/>
          </w:tcPr>
          <w:p w14:paraId="4D17838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178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1A1E017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bidi="ar"/>
                <w14:textFill>
                  <w14:solidFill>
                    <w14:schemeClr w14:val="tx1"/>
                  </w14:solidFill>
                </w14:textFill>
              </w:rPr>
              <w:t>241700002D01</w:t>
            </w:r>
          </w:p>
        </w:tc>
        <w:tc>
          <w:tcPr>
            <w:tcW w:w="236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0C2A7B1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kern w:val="0"/>
                <w:sz w:val="24"/>
                <w:szCs w:val="24"/>
                <w:lang w:val="zh-CN"/>
                <w14:textFill>
                  <w14:solidFill>
                    <w14:schemeClr w14:val="tx1"/>
                  </w14:solidFill>
                </w14:textFill>
              </w:rPr>
            </w:pPr>
            <w:r>
              <w:rPr>
                <w:rStyle w:val="13"/>
                <w:rFonts w:hint="default" w:ascii="Times New Roman" w:hAnsi="Times New Roman" w:eastAsia="仿宋" w:cs="Times New Roman"/>
                <w:b w:val="0"/>
                <w:bCs w:val="0"/>
                <w:color w:val="000000" w:themeColor="text1"/>
                <w:sz w:val="24"/>
                <w:szCs w:val="24"/>
                <w:lang w:bidi="ar"/>
                <w14:textFill>
                  <w14:solidFill>
                    <w14:schemeClr w14:val="tx1"/>
                  </w14:solidFill>
                </w14:textFill>
              </w:rPr>
              <w:t>走</w:t>
            </w:r>
            <w:r>
              <w:rPr>
                <w:rStyle w:val="14"/>
                <w:rFonts w:hint="default" w:ascii="Times New Roman" w:hAnsi="Times New Roman" w:eastAsia="仿宋" w:cs="Times New Roman"/>
                <w:b w:val="0"/>
                <w:bCs w:val="0"/>
                <w:color w:val="000000" w:themeColor="text1"/>
                <w:sz w:val="24"/>
                <w:szCs w:val="24"/>
                <w:lang w:bidi="ar"/>
                <w14:textFill>
                  <w14:solidFill>
                    <w14:schemeClr w14:val="tx1"/>
                  </w14:solidFill>
                </w14:textFill>
              </w:rPr>
              <w:t>近</w:t>
            </w:r>
            <w:r>
              <w:rPr>
                <w:rStyle w:val="13"/>
                <w:rFonts w:hint="default" w:ascii="Times New Roman" w:hAnsi="Times New Roman" w:eastAsia="仿宋" w:cs="Times New Roman"/>
                <w:b w:val="0"/>
                <w:bCs w:val="0"/>
                <w:color w:val="000000" w:themeColor="text1"/>
                <w:sz w:val="24"/>
                <w:szCs w:val="24"/>
                <w:lang w:bidi="ar"/>
                <w14:textFill>
                  <w14:solidFill>
                    <w14:schemeClr w14:val="tx1"/>
                  </w14:solidFill>
                </w14:textFill>
              </w:rPr>
              <w:t>湖湘红色文化</w:t>
            </w:r>
          </w:p>
        </w:tc>
        <w:tc>
          <w:tcPr>
            <w:tcW w:w="62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54C0BA7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hint="eastAsia" w:ascii="Times New Roman" w:hAnsi="Times New Roman" w:eastAsia="仿宋" w:cs="Times New Roman"/>
                <w:b w:val="0"/>
                <w:bCs w:val="0"/>
                <w:color w:val="000000" w:themeColor="text1"/>
                <w:sz w:val="24"/>
                <w:szCs w:val="24"/>
                <w:lang w:bidi="ar"/>
                <w14:textFill>
                  <w14:solidFill>
                    <w14:schemeClr w14:val="tx1"/>
                  </w14:solidFill>
                </w14:textFill>
              </w:rPr>
              <w:t>1</w:t>
            </w:r>
            <w:r>
              <w:rPr>
                <w:rFonts w:ascii="Times New Roman" w:hAnsi="Times New Roman" w:eastAsia="仿宋" w:cs="Times New Roman"/>
                <w:b w:val="0"/>
                <w:bCs w:val="0"/>
                <w:color w:val="000000" w:themeColor="text1"/>
                <w:sz w:val="24"/>
                <w:szCs w:val="24"/>
                <w:lang w:bidi="ar"/>
                <w14:textFill>
                  <w14:solidFill>
                    <w14:schemeClr w14:val="tx1"/>
                  </w14:solidFill>
                </w14:textFill>
              </w:rPr>
              <w:t>6</w:t>
            </w:r>
          </w:p>
        </w:tc>
        <w:tc>
          <w:tcPr>
            <w:tcW w:w="54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00BDEE9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bidi="ar"/>
                <w14:textFill>
                  <w14:solidFill>
                    <w14:schemeClr w14:val="tx1"/>
                  </w14:solidFill>
                </w14:textFill>
              </w:rPr>
              <w:t>1</w:t>
            </w:r>
          </w:p>
        </w:tc>
        <w:tc>
          <w:tcPr>
            <w:tcW w:w="107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02D8846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bidi="ar"/>
                <w14:textFill>
                  <w14:solidFill>
                    <w14:schemeClr w14:val="tx1"/>
                  </w14:solidFill>
                </w14:textFill>
              </w:rPr>
              <w:t>春季</w:t>
            </w:r>
          </w:p>
        </w:tc>
        <w:tc>
          <w:tcPr>
            <w:tcW w:w="1702" w:type="dxa"/>
            <w:tcBorders>
              <w:top w:val="single" w:color="auto" w:sz="4" w:space="0"/>
              <w:left w:val="single" w:color="auto" w:sz="4" w:space="0"/>
              <w:bottom w:val="single" w:color="auto" w:sz="4" w:space="0"/>
              <w:right w:val="single" w:color="auto" w:sz="4" w:space="0"/>
            </w:tcBorders>
            <w:tcMar>
              <w:top w:w="0" w:type="dxa"/>
              <w:left w:w="6" w:type="dxa"/>
              <w:bottom w:w="0" w:type="dxa"/>
              <w:right w:w="6" w:type="dxa"/>
            </w:tcMar>
            <w:vAlign w:val="center"/>
          </w:tcPr>
          <w:p w14:paraId="475BAD3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bidi="ar"/>
                <w14:textFill>
                  <w14:solidFill>
                    <w14:schemeClr w14:val="tx1"/>
                  </w14:solidFill>
                </w14:textFill>
              </w:rPr>
              <w:t>马克思主义学院</w:t>
            </w:r>
          </w:p>
        </w:tc>
        <w:tc>
          <w:tcPr>
            <w:tcW w:w="843" w:type="dxa"/>
            <w:vMerge w:val="continue"/>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2310A74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p>
        </w:tc>
      </w:tr>
      <w:tr w14:paraId="3D52911E">
        <w:tblPrEx>
          <w:tblCellMar>
            <w:top w:w="0" w:type="dxa"/>
            <w:left w:w="0" w:type="dxa"/>
            <w:bottom w:w="0" w:type="dxa"/>
            <w:right w:w="0" w:type="dxa"/>
          </w:tblCellMar>
        </w:tblPrEx>
        <w:trPr>
          <w:trHeight w:val="340" w:hRule="atLeast"/>
          <w:jc w:val="center"/>
        </w:trPr>
        <w:tc>
          <w:tcPr>
            <w:tcW w:w="526" w:type="dxa"/>
            <w:vMerge w:val="continue"/>
            <w:tcBorders>
              <w:left w:val="single" w:color="auto" w:sz="4" w:space="0"/>
              <w:right w:val="single" w:color="auto" w:sz="4" w:space="0"/>
            </w:tcBorders>
            <w:vAlign w:val="center"/>
          </w:tcPr>
          <w:p w14:paraId="5F14B86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590" w:type="dxa"/>
            <w:vMerge w:val="continue"/>
            <w:tcBorders>
              <w:left w:val="single" w:color="auto" w:sz="4" w:space="0"/>
              <w:right w:val="single" w:color="auto" w:sz="4" w:space="0"/>
            </w:tcBorders>
            <w:vAlign w:val="center"/>
          </w:tcPr>
          <w:p w14:paraId="38F4482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178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0E81B5A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bidi="ar"/>
                <w14:textFill>
                  <w14:solidFill>
                    <w14:schemeClr w14:val="tx1"/>
                  </w14:solidFill>
                </w14:textFill>
              </w:rPr>
              <w:t>240800002D01</w:t>
            </w:r>
          </w:p>
        </w:tc>
        <w:tc>
          <w:tcPr>
            <w:tcW w:w="236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2121755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bidi="ar"/>
                <w14:textFill>
                  <w14:solidFill>
                    <w14:schemeClr w14:val="tx1"/>
                  </w14:solidFill>
                </w14:textFill>
              </w:rPr>
              <w:t>绿色发展与低碳管理</w:t>
            </w:r>
          </w:p>
        </w:tc>
        <w:tc>
          <w:tcPr>
            <w:tcW w:w="62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1B9F8FF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hint="eastAsia" w:ascii="Times New Roman" w:hAnsi="Times New Roman" w:eastAsia="仿宋" w:cs="Times New Roman"/>
                <w:b w:val="0"/>
                <w:bCs w:val="0"/>
                <w:color w:val="000000" w:themeColor="text1"/>
                <w:sz w:val="24"/>
                <w:szCs w:val="24"/>
                <w:lang w:bidi="ar"/>
                <w14:textFill>
                  <w14:solidFill>
                    <w14:schemeClr w14:val="tx1"/>
                  </w14:solidFill>
                </w14:textFill>
              </w:rPr>
              <w:t>1</w:t>
            </w:r>
            <w:r>
              <w:rPr>
                <w:rFonts w:ascii="Times New Roman" w:hAnsi="Times New Roman" w:eastAsia="仿宋" w:cs="Times New Roman"/>
                <w:b w:val="0"/>
                <w:bCs w:val="0"/>
                <w:color w:val="000000" w:themeColor="text1"/>
                <w:sz w:val="24"/>
                <w:szCs w:val="24"/>
                <w:lang w:bidi="ar"/>
                <w14:textFill>
                  <w14:solidFill>
                    <w14:schemeClr w14:val="tx1"/>
                  </w14:solidFill>
                </w14:textFill>
              </w:rPr>
              <w:t>6</w:t>
            </w:r>
          </w:p>
        </w:tc>
        <w:tc>
          <w:tcPr>
            <w:tcW w:w="54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53634FF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bidi="ar"/>
                <w14:textFill>
                  <w14:solidFill>
                    <w14:schemeClr w14:val="tx1"/>
                  </w14:solidFill>
                </w14:textFill>
              </w:rPr>
              <w:t>1</w:t>
            </w:r>
          </w:p>
        </w:tc>
        <w:tc>
          <w:tcPr>
            <w:tcW w:w="107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04EB47A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bidi="ar"/>
                <w14:textFill>
                  <w14:solidFill>
                    <w14:schemeClr w14:val="tx1"/>
                  </w14:solidFill>
                </w14:textFill>
              </w:rPr>
              <w:t>秋季</w:t>
            </w:r>
          </w:p>
        </w:tc>
        <w:tc>
          <w:tcPr>
            <w:tcW w:w="170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5127F72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bidi="ar"/>
                <w14:textFill>
                  <w14:solidFill>
                    <w14:schemeClr w14:val="tx1"/>
                  </w14:solidFill>
                </w14:textFill>
              </w:rPr>
              <w:t>资源环境学院</w:t>
            </w:r>
          </w:p>
        </w:tc>
        <w:tc>
          <w:tcPr>
            <w:tcW w:w="843" w:type="dxa"/>
            <w:vMerge w:val="continue"/>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0541833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p>
        </w:tc>
      </w:tr>
      <w:tr w14:paraId="7DCAA09F">
        <w:tblPrEx>
          <w:tblCellMar>
            <w:top w:w="0" w:type="dxa"/>
            <w:left w:w="0" w:type="dxa"/>
            <w:bottom w:w="0" w:type="dxa"/>
            <w:right w:w="0" w:type="dxa"/>
          </w:tblCellMar>
        </w:tblPrEx>
        <w:trPr>
          <w:trHeight w:val="340" w:hRule="atLeast"/>
          <w:jc w:val="center"/>
        </w:trPr>
        <w:tc>
          <w:tcPr>
            <w:tcW w:w="526" w:type="dxa"/>
            <w:vMerge w:val="continue"/>
            <w:tcBorders>
              <w:left w:val="single" w:color="auto" w:sz="4" w:space="0"/>
              <w:right w:val="single" w:color="auto" w:sz="4" w:space="0"/>
            </w:tcBorders>
            <w:vAlign w:val="center"/>
          </w:tcPr>
          <w:p w14:paraId="23960D1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590" w:type="dxa"/>
            <w:vMerge w:val="continue"/>
            <w:tcBorders>
              <w:left w:val="single" w:color="auto" w:sz="4" w:space="0"/>
              <w:right w:val="single" w:color="auto" w:sz="4" w:space="0"/>
            </w:tcBorders>
            <w:vAlign w:val="center"/>
          </w:tcPr>
          <w:p w14:paraId="4E80A8A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1780" w:type="dxa"/>
            <w:tcBorders>
              <w:top w:val="single" w:color="000000" w:sz="2" w:space="0"/>
              <w:left w:val="single" w:color="000000" w:sz="2" w:space="0"/>
              <w:bottom w:val="single" w:color="000000" w:sz="2" w:space="0"/>
              <w:right w:val="single" w:color="auto" w:sz="4" w:space="0"/>
            </w:tcBorders>
            <w:tcMar>
              <w:top w:w="0" w:type="dxa"/>
              <w:left w:w="28" w:type="dxa"/>
              <w:bottom w:w="0" w:type="dxa"/>
              <w:right w:w="28" w:type="dxa"/>
            </w:tcMar>
            <w:vAlign w:val="center"/>
          </w:tcPr>
          <w:p w14:paraId="38D3208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bidi="ar"/>
                <w14:textFill>
                  <w14:solidFill>
                    <w14:schemeClr w14:val="tx1"/>
                  </w14:solidFill>
                </w14:textFill>
              </w:rPr>
              <w:t>240100002D03</w:t>
            </w:r>
          </w:p>
        </w:tc>
        <w:tc>
          <w:tcPr>
            <w:tcW w:w="236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1694B42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bidi="ar"/>
                <w14:textFill>
                  <w14:solidFill>
                    <w14:schemeClr w14:val="tx1"/>
                  </w14:solidFill>
                </w14:textFill>
              </w:rPr>
              <w:t>数字经济与智慧管理</w:t>
            </w:r>
          </w:p>
        </w:tc>
        <w:tc>
          <w:tcPr>
            <w:tcW w:w="62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1D07B2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hint="eastAsia" w:ascii="Times New Roman" w:hAnsi="Times New Roman" w:eastAsia="仿宋" w:cs="Times New Roman"/>
                <w:b w:val="0"/>
                <w:bCs w:val="0"/>
                <w:color w:val="000000" w:themeColor="text1"/>
                <w:sz w:val="24"/>
                <w:szCs w:val="24"/>
                <w:lang w:bidi="ar"/>
                <w14:textFill>
                  <w14:solidFill>
                    <w14:schemeClr w14:val="tx1"/>
                  </w14:solidFill>
                </w14:textFill>
              </w:rPr>
              <w:t>1</w:t>
            </w:r>
            <w:r>
              <w:rPr>
                <w:rFonts w:ascii="Times New Roman" w:hAnsi="Times New Roman" w:eastAsia="仿宋" w:cs="Times New Roman"/>
                <w:b w:val="0"/>
                <w:bCs w:val="0"/>
                <w:color w:val="000000" w:themeColor="text1"/>
                <w:sz w:val="24"/>
                <w:szCs w:val="24"/>
                <w:lang w:bidi="ar"/>
                <w14:textFill>
                  <w14:solidFill>
                    <w14:schemeClr w14:val="tx1"/>
                  </w14:solidFill>
                </w14:textFill>
              </w:rPr>
              <w:t>6</w:t>
            </w:r>
          </w:p>
        </w:tc>
        <w:tc>
          <w:tcPr>
            <w:tcW w:w="54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1611ADD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bidi="ar"/>
                <w14:textFill>
                  <w14:solidFill>
                    <w14:schemeClr w14:val="tx1"/>
                  </w14:solidFill>
                </w14:textFill>
              </w:rPr>
              <w:t>1</w:t>
            </w:r>
          </w:p>
        </w:tc>
        <w:tc>
          <w:tcPr>
            <w:tcW w:w="107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F45B6D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春季</w:t>
            </w:r>
          </w:p>
        </w:tc>
        <w:tc>
          <w:tcPr>
            <w:tcW w:w="170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70842B5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bidi="ar"/>
                <w14:textFill>
                  <w14:solidFill>
                    <w14:schemeClr w14:val="tx1"/>
                  </w14:solidFill>
                </w14:textFill>
              </w:rPr>
              <w:t>前沿交叉学院</w:t>
            </w:r>
          </w:p>
        </w:tc>
        <w:tc>
          <w:tcPr>
            <w:tcW w:w="843" w:type="dxa"/>
            <w:vMerge w:val="continue"/>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1980D07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p>
        </w:tc>
      </w:tr>
      <w:tr w14:paraId="706A1C7F">
        <w:tblPrEx>
          <w:tblCellMar>
            <w:top w:w="0" w:type="dxa"/>
            <w:left w:w="0" w:type="dxa"/>
            <w:bottom w:w="0" w:type="dxa"/>
            <w:right w:w="0" w:type="dxa"/>
          </w:tblCellMar>
        </w:tblPrEx>
        <w:trPr>
          <w:trHeight w:val="340" w:hRule="atLeast"/>
          <w:jc w:val="center"/>
        </w:trPr>
        <w:tc>
          <w:tcPr>
            <w:tcW w:w="526" w:type="dxa"/>
            <w:vMerge w:val="continue"/>
            <w:tcBorders>
              <w:left w:val="single" w:color="auto" w:sz="4" w:space="0"/>
              <w:right w:val="single" w:color="auto" w:sz="4" w:space="0"/>
            </w:tcBorders>
            <w:vAlign w:val="center"/>
          </w:tcPr>
          <w:p w14:paraId="6180FED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590" w:type="dxa"/>
            <w:vMerge w:val="continue"/>
            <w:tcBorders>
              <w:left w:val="single" w:color="auto" w:sz="4" w:space="0"/>
              <w:right w:val="single" w:color="auto" w:sz="4" w:space="0"/>
            </w:tcBorders>
            <w:vAlign w:val="center"/>
          </w:tcPr>
          <w:p w14:paraId="2CBCE9A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178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65C6EF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bidi="ar"/>
                <w14:textFill>
                  <w14:solidFill>
                    <w14:schemeClr w14:val="tx1"/>
                  </w14:solidFill>
                </w14:textFill>
              </w:rPr>
              <w:t>241800002D01</w:t>
            </w:r>
          </w:p>
        </w:tc>
        <w:tc>
          <w:tcPr>
            <w:tcW w:w="236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031964D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bidi="ar"/>
                <w14:textFill>
                  <w14:solidFill>
                    <w14:schemeClr w14:val="tx1"/>
                  </w14:solidFill>
                </w14:textFill>
              </w:rPr>
              <w:t>语言交际艺术</w:t>
            </w:r>
          </w:p>
        </w:tc>
        <w:tc>
          <w:tcPr>
            <w:tcW w:w="62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003DD8D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hint="eastAsia" w:ascii="Times New Roman" w:hAnsi="Times New Roman" w:eastAsia="仿宋" w:cs="Times New Roman"/>
                <w:b w:val="0"/>
                <w:bCs w:val="0"/>
                <w:color w:val="000000" w:themeColor="text1"/>
                <w:sz w:val="24"/>
                <w:szCs w:val="24"/>
                <w:lang w:bidi="ar"/>
                <w14:textFill>
                  <w14:solidFill>
                    <w14:schemeClr w14:val="tx1"/>
                  </w14:solidFill>
                </w14:textFill>
              </w:rPr>
              <w:t>1</w:t>
            </w:r>
            <w:r>
              <w:rPr>
                <w:rFonts w:ascii="Times New Roman" w:hAnsi="Times New Roman" w:eastAsia="仿宋" w:cs="Times New Roman"/>
                <w:b w:val="0"/>
                <w:bCs w:val="0"/>
                <w:color w:val="000000" w:themeColor="text1"/>
                <w:sz w:val="24"/>
                <w:szCs w:val="24"/>
                <w:lang w:bidi="ar"/>
                <w14:textFill>
                  <w14:solidFill>
                    <w14:schemeClr w14:val="tx1"/>
                  </w14:solidFill>
                </w14:textFill>
              </w:rPr>
              <w:t>6</w:t>
            </w:r>
          </w:p>
        </w:tc>
        <w:tc>
          <w:tcPr>
            <w:tcW w:w="54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5FB51A1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bidi="ar"/>
                <w14:textFill>
                  <w14:solidFill>
                    <w14:schemeClr w14:val="tx1"/>
                  </w14:solidFill>
                </w14:textFill>
              </w:rPr>
              <w:t>1</w:t>
            </w:r>
          </w:p>
        </w:tc>
        <w:tc>
          <w:tcPr>
            <w:tcW w:w="107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6A09D3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bidi="ar"/>
                <w14:textFill>
                  <w14:solidFill>
                    <w14:schemeClr w14:val="tx1"/>
                  </w14:solidFill>
                </w14:textFill>
              </w:rPr>
              <w:t>秋季</w:t>
            </w:r>
          </w:p>
        </w:tc>
        <w:tc>
          <w:tcPr>
            <w:tcW w:w="170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4ABB3E2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bidi="ar"/>
                <w14:textFill>
                  <w14:solidFill>
                    <w14:schemeClr w14:val="tx1"/>
                  </w14:solidFill>
                </w14:textFill>
              </w:rPr>
              <w:t>外国语学院</w:t>
            </w:r>
          </w:p>
        </w:tc>
        <w:tc>
          <w:tcPr>
            <w:tcW w:w="843" w:type="dxa"/>
            <w:vMerge w:val="continue"/>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0C4C912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p>
        </w:tc>
      </w:tr>
      <w:tr w14:paraId="62EAF48F">
        <w:tblPrEx>
          <w:tblCellMar>
            <w:top w:w="0" w:type="dxa"/>
            <w:left w:w="0" w:type="dxa"/>
            <w:bottom w:w="0" w:type="dxa"/>
            <w:right w:w="0" w:type="dxa"/>
          </w:tblCellMar>
        </w:tblPrEx>
        <w:trPr>
          <w:trHeight w:val="340" w:hRule="atLeast"/>
          <w:jc w:val="center"/>
        </w:trPr>
        <w:tc>
          <w:tcPr>
            <w:tcW w:w="526" w:type="dxa"/>
            <w:vMerge w:val="continue"/>
            <w:tcBorders>
              <w:left w:val="single" w:color="auto" w:sz="4" w:space="0"/>
              <w:right w:val="single" w:color="auto" w:sz="4" w:space="0"/>
            </w:tcBorders>
            <w:vAlign w:val="center"/>
          </w:tcPr>
          <w:p w14:paraId="31D43A5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590" w:type="dxa"/>
            <w:vMerge w:val="continue"/>
            <w:tcBorders>
              <w:left w:val="single" w:color="auto" w:sz="4" w:space="0"/>
              <w:right w:val="single" w:color="auto" w:sz="4" w:space="0"/>
            </w:tcBorders>
            <w:vAlign w:val="center"/>
          </w:tcPr>
          <w:p w14:paraId="35CEB50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178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5602D74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bidi="ar"/>
                <w14:textFill>
                  <w14:solidFill>
                    <w14:schemeClr w14:val="tx1"/>
                  </w14:solidFill>
                </w14:textFill>
              </w:rPr>
              <w:t>241900002D01</w:t>
            </w:r>
          </w:p>
        </w:tc>
        <w:tc>
          <w:tcPr>
            <w:tcW w:w="236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460AB36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bidi="ar"/>
                <w14:textFill>
                  <w14:solidFill>
                    <w14:schemeClr w14:val="tx1"/>
                  </w14:solidFill>
                </w14:textFill>
              </w:rPr>
              <w:t>艺术概论</w:t>
            </w:r>
          </w:p>
        </w:tc>
        <w:tc>
          <w:tcPr>
            <w:tcW w:w="62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2391A87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hint="eastAsia" w:ascii="Times New Roman" w:hAnsi="Times New Roman" w:eastAsia="仿宋" w:cs="Times New Roman"/>
                <w:b w:val="0"/>
                <w:bCs w:val="0"/>
                <w:color w:val="000000" w:themeColor="text1"/>
                <w:sz w:val="24"/>
                <w:szCs w:val="24"/>
                <w:lang w:bidi="ar"/>
                <w14:textFill>
                  <w14:solidFill>
                    <w14:schemeClr w14:val="tx1"/>
                  </w14:solidFill>
                </w14:textFill>
              </w:rPr>
              <w:t>1</w:t>
            </w:r>
            <w:r>
              <w:rPr>
                <w:rFonts w:ascii="Times New Roman" w:hAnsi="Times New Roman" w:eastAsia="仿宋" w:cs="Times New Roman"/>
                <w:b w:val="0"/>
                <w:bCs w:val="0"/>
                <w:color w:val="000000" w:themeColor="text1"/>
                <w:sz w:val="24"/>
                <w:szCs w:val="24"/>
                <w:lang w:bidi="ar"/>
                <w14:textFill>
                  <w14:solidFill>
                    <w14:schemeClr w14:val="tx1"/>
                  </w14:solidFill>
                </w14:textFill>
              </w:rPr>
              <w:t>6</w:t>
            </w:r>
          </w:p>
        </w:tc>
        <w:tc>
          <w:tcPr>
            <w:tcW w:w="54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25F80D6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bidi="ar"/>
                <w14:textFill>
                  <w14:solidFill>
                    <w14:schemeClr w14:val="tx1"/>
                  </w14:solidFill>
                </w14:textFill>
              </w:rPr>
              <w:t>1</w:t>
            </w:r>
          </w:p>
        </w:tc>
        <w:tc>
          <w:tcPr>
            <w:tcW w:w="107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76FA1B8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bidi="ar"/>
                <w14:textFill>
                  <w14:solidFill>
                    <w14:schemeClr w14:val="tx1"/>
                  </w14:solidFill>
                </w14:textFill>
              </w:rPr>
              <w:t>春季</w:t>
            </w:r>
          </w:p>
        </w:tc>
        <w:tc>
          <w:tcPr>
            <w:tcW w:w="170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73FF93E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bidi="ar"/>
                <w14:textFill>
                  <w14:solidFill>
                    <w14:schemeClr w14:val="tx1"/>
                  </w14:solidFill>
                </w14:textFill>
              </w:rPr>
              <w:t>设计艺术学院</w:t>
            </w:r>
          </w:p>
        </w:tc>
        <w:tc>
          <w:tcPr>
            <w:tcW w:w="843" w:type="dxa"/>
            <w:vMerge w:val="continue"/>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2ED956F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p>
        </w:tc>
      </w:tr>
      <w:tr w14:paraId="7FE26A5E">
        <w:tblPrEx>
          <w:tblCellMar>
            <w:top w:w="0" w:type="dxa"/>
            <w:left w:w="0" w:type="dxa"/>
            <w:bottom w:w="0" w:type="dxa"/>
            <w:right w:w="0" w:type="dxa"/>
          </w:tblCellMar>
        </w:tblPrEx>
        <w:trPr>
          <w:trHeight w:val="340" w:hRule="atLeast"/>
          <w:jc w:val="center"/>
        </w:trPr>
        <w:tc>
          <w:tcPr>
            <w:tcW w:w="526" w:type="dxa"/>
            <w:vMerge w:val="continue"/>
            <w:tcBorders>
              <w:left w:val="single" w:color="auto" w:sz="4" w:space="0"/>
              <w:right w:val="single" w:color="auto" w:sz="4" w:space="0"/>
            </w:tcBorders>
            <w:vAlign w:val="center"/>
          </w:tcPr>
          <w:p w14:paraId="6AB50B2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590" w:type="dxa"/>
            <w:vMerge w:val="continue"/>
            <w:tcBorders>
              <w:left w:val="single" w:color="auto" w:sz="4" w:space="0"/>
              <w:right w:val="single" w:color="auto" w:sz="4" w:space="0"/>
            </w:tcBorders>
            <w:vAlign w:val="center"/>
          </w:tcPr>
          <w:p w14:paraId="3E7ADFD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178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0AEB20A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bidi="ar"/>
                <w14:textFill>
                  <w14:solidFill>
                    <w14:schemeClr w14:val="tx1"/>
                  </w14:solidFill>
                </w14:textFill>
              </w:rPr>
              <w:t>2422000002D01</w:t>
            </w:r>
          </w:p>
        </w:tc>
        <w:tc>
          <w:tcPr>
            <w:tcW w:w="236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7950EB8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bidi="ar"/>
                <w14:textFill>
                  <w14:solidFill>
                    <w14:schemeClr w14:val="tx1"/>
                  </w14:solidFill>
                </w14:textFill>
              </w:rPr>
              <w:t>创新思维与方法</w:t>
            </w:r>
          </w:p>
        </w:tc>
        <w:tc>
          <w:tcPr>
            <w:tcW w:w="62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067943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hint="eastAsia" w:ascii="Times New Roman" w:hAnsi="Times New Roman" w:eastAsia="仿宋" w:cs="Times New Roman"/>
                <w:b w:val="0"/>
                <w:bCs w:val="0"/>
                <w:color w:val="000000" w:themeColor="text1"/>
                <w:sz w:val="24"/>
                <w:szCs w:val="24"/>
                <w:lang w:bidi="ar"/>
                <w14:textFill>
                  <w14:solidFill>
                    <w14:schemeClr w14:val="tx1"/>
                  </w14:solidFill>
                </w14:textFill>
              </w:rPr>
              <w:t>1</w:t>
            </w:r>
            <w:r>
              <w:rPr>
                <w:rFonts w:ascii="Times New Roman" w:hAnsi="Times New Roman" w:eastAsia="仿宋" w:cs="Times New Roman"/>
                <w:b w:val="0"/>
                <w:bCs w:val="0"/>
                <w:color w:val="000000" w:themeColor="text1"/>
                <w:sz w:val="24"/>
                <w:szCs w:val="24"/>
                <w:lang w:bidi="ar"/>
                <w14:textFill>
                  <w14:solidFill>
                    <w14:schemeClr w14:val="tx1"/>
                  </w14:solidFill>
                </w14:textFill>
              </w:rPr>
              <w:t>6</w:t>
            </w:r>
          </w:p>
        </w:tc>
        <w:tc>
          <w:tcPr>
            <w:tcW w:w="54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10AE18F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bidi="ar"/>
                <w14:textFill>
                  <w14:solidFill>
                    <w14:schemeClr w14:val="tx1"/>
                  </w14:solidFill>
                </w14:textFill>
              </w:rPr>
              <w:t>1</w:t>
            </w:r>
          </w:p>
        </w:tc>
        <w:tc>
          <w:tcPr>
            <w:tcW w:w="107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5BFB58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bidi="ar"/>
                <w14:textFill>
                  <w14:solidFill>
                    <w14:schemeClr w14:val="tx1"/>
                  </w14:solidFill>
                </w14:textFill>
              </w:rPr>
              <w:t>春季</w:t>
            </w:r>
          </w:p>
        </w:tc>
        <w:tc>
          <w:tcPr>
            <w:tcW w:w="170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06A43C2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bidi="ar"/>
                <w14:textFill>
                  <w14:solidFill>
                    <w14:schemeClr w14:val="tx1"/>
                  </w14:solidFill>
                </w14:textFill>
              </w:rPr>
              <w:t>创新创业学院</w:t>
            </w:r>
          </w:p>
        </w:tc>
        <w:tc>
          <w:tcPr>
            <w:tcW w:w="843" w:type="dxa"/>
            <w:vMerge w:val="continue"/>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5A4D73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p>
        </w:tc>
      </w:tr>
      <w:tr w14:paraId="3E133FBC">
        <w:tblPrEx>
          <w:tblCellMar>
            <w:top w:w="0" w:type="dxa"/>
            <w:left w:w="0" w:type="dxa"/>
            <w:bottom w:w="0" w:type="dxa"/>
            <w:right w:w="0" w:type="dxa"/>
          </w:tblCellMar>
        </w:tblPrEx>
        <w:trPr>
          <w:trHeight w:val="400" w:hRule="atLeast"/>
          <w:jc w:val="center"/>
        </w:trPr>
        <w:tc>
          <w:tcPr>
            <w:tcW w:w="526" w:type="dxa"/>
            <w:vMerge w:val="continue"/>
            <w:tcBorders>
              <w:left w:val="single" w:color="auto" w:sz="4" w:space="0"/>
              <w:bottom w:val="single" w:color="auto" w:sz="4" w:space="0"/>
              <w:right w:val="single" w:color="auto" w:sz="4" w:space="0"/>
            </w:tcBorders>
            <w:vAlign w:val="center"/>
          </w:tcPr>
          <w:p w14:paraId="11DBF4C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bCs/>
                <w:color w:val="000000" w:themeColor="text1"/>
                <w:sz w:val="24"/>
                <w:szCs w:val="24"/>
                <w:lang w:val="zh-CN"/>
                <w14:textFill>
                  <w14:solidFill>
                    <w14:schemeClr w14:val="tx1"/>
                  </w14:solidFill>
                </w14:textFill>
              </w:rPr>
            </w:pPr>
          </w:p>
        </w:tc>
        <w:tc>
          <w:tcPr>
            <w:tcW w:w="590" w:type="dxa"/>
            <w:vMerge w:val="continue"/>
            <w:tcBorders>
              <w:left w:val="single" w:color="auto" w:sz="4" w:space="0"/>
              <w:bottom w:val="single" w:color="auto" w:sz="4" w:space="0"/>
              <w:right w:val="single" w:color="auto" w:sz="4" w:space="0"/>
            </w:tcBorders>
            <w:vAlign w:val="center"/>
          </w:tcPr>
          <w:p w14:paraId="79C4E0C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Times New Roman" w:hAnsi="Times New Roman" w:eastAsia="仿宋" w:cs="Times New Roman"/>
                <w:b/>
                <w:bCs/>
                <w:color w:val="000000" w:themeColor="text1"/>
                <w:sz w:val="24"/>
                <w:szCs w:val="24"/>
                <w:lang w:val="zh-CN"/>
                <w14:textFill>
                  <w14:solidFill>
                    <w14:schemeClr w14:val="tx1"/>
                  </w14:solidFill>
                </w14:textFill>
              </w:rPr>
            </w:pPr>
          </w:p>
        </w:tc>
        <w:tc>
          <w:tcPr>
            <w:tcW w:w="1780" w:type="dxa"/>
            <w:tcBorders>
              <w:top w:val="single" w:color="auto" w:sz="4" w:space="0"/>
              <w:left w:val="single" w:color="auto" w:sz="4" w:space="0"/>
              <w:bottom w:val="single" w:color="auto" w:sz="4" w:space="0"/>
              <w:right w:val="single" w:color="auto" w:sz="4" w:space="0"/>
            </w:tcBorders>
            <w:vAlign w:val="center"/>
          </w:tcPr>
          <w:p w14:paraId="36D742B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Times New Roman" w:hAnsi="Times New Roman" w:eastAsia="仿宋" w:cs="Times New Roman"/>
                <w:b/>
                <w:bCs/>
                <w:color w:val="000000" w:themeColor="text1"/>
                <w:sz w:val="24"/>
                <w:szCs w:val="24"/>
                <w:lang w:val="zh-CN"/>
                <w14:textFill>
                  <w14:solidFill>
                    <w14:schemeClr w14:val="tx1"/>
                  </w14:solidFill>
                </w14:textFill>
              </w:rPr>
            </w:pPr>
            <w:r>
              <w:rPr>
                <w:rFonts w:ascii="Times New Roman" w:hAnsi="Times New Roman" w:eastAsia="仿宋" w:cs="Times New Roman"/>
                <w:b/>
                <w:bCs/>
                <w:color w:val="000000" w:themeColor="text1"/>
                <w:sz w:val="24"/>
                <w:szCs w:val="24"/>
                <w:lang w:val="zh-CN"/>
                <w14:textFill>
                  <w14:solidFill>
                    <w14:schemeClr w14:val="tx1"/>
                  </w14:solidFill>
                </w14:textFill>
              </w:rPr>
              <w:t>小计</w:t>
            </w:r>
          </w:p>
        </w:tc>
        <w:tc>
          <w:tcPr>
            <w:tcW w:w="2360" w:type="dxa"/>
            <w:tcBorders>
              <w:top w:val="single" w:color="auto" w:sz="4" w:space="0"/>
              <w:left w:val="single" w:color="auto" w:sz="4" w:space="0"/>
              <w:bottom w:val="single" w:color="auto" w:sz="4" w:space="0"/>
              <w:right w:val="single" w:color="auto" w:sz="4" w:space="0"/>
            </w:tcBorders>
            <w:vAlign w:val="center"/>
          </w:tcPr>
          <w:p w14:paraId="4C2831B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Times New Roman" w:hAnsi="Times New Roman" w:eastAsia="仿宋" w:cs="Times New Roman"/>
                <w:b/>
                <w:bCs/>
                <w:color w:val="000000" w:themeColor="text1"/>
                <w:sz w:val="24"/>
                <w:szCs w:val="24"/>
                <w:lang w:val="zh-CN"/>
                <w14:textFill>
                  <w14:solidFill>
                    <w14:schemeClr w14:val="tx1"/>
                  </w14:solidFill>
                </w14:textFill>
              </w:rPr>
            </w:pPr>
          </w:p>
        </w:tc>
        <w:tc>
          <w:tcPr>
            <w:tcW w:w="62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E4B5A6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r>
              <w:rPr>
                <w:rFonts w:hint="eastAsia" w:ascii="Times New Roman" w:hAnsi="Times New Roman" w:eastAsia="仿宋" w:cs="Times New Roman"/>
                <w:b w:val="0"/>
                <w:bCs w:val="0"/>
                <w:color w:val="000000" w:themeColor="text1"/>
                <w:sz w:val="24"/>
                <w:szCs w:val="24"/>
                <w14:textFill>
                  <w14:solidFill>
                    <w14:schemeClr w14:val="tx1"/>
                  </w14:solidFill>
                </w14:textFill>
              </w:rPr>
              <w:t>3</w:t>
            </w:r>
            <w:r>
              <w:rPr>
                <w:rFonts w:ascii="Times New Roman" w:hAnsi="Times New Roman" w:eastAsia="仿宋" w:cs="Times New Roman"/>
                <w:b w:val="0"/>
                <w:bCs w:val="0"/>
                <w:color w:val="000000" w:themeColor="text1"/>
                <w:sz w:val="24"/>
                <w:szCs w:val="24"/>
                <w14:textFill>
                  <w14:solidFill>
                    <w14:schemeClr w14:val="tx1"/>
                  </w14:solidFill>
                </w14:textFill>
              </w:rPr>
              <w:t>2</w:t>
            </w:r>
          </w:p>
        </w:tc>
        <w:tc>
          <w:tcPr>
            <w:tcW w:w="54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BD8EE6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2</w:t>
            </w:r>
          </w:p>
        </w:tc>
        <w:tc>
          <w:tcPr>
            <w:tcW w:w="107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7C3EA0F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p>
        </w:tc>
        <w:tc>
          <w:tcPr>
            <w:tcW w:w="170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09B2CCF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p>
        </w:tc>
        <w:tc>
          <w:tcPr>
            <w:tcW w:w="84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2B6E35D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p>
        </w:tc>
      </w:tr>
      <w:tr w14:paraId="0CA42819">
        <w:tblPrEx>
          <w:tblCellMar>
            <w:top w:w="0" w:type="dxa"/>
            <w:left w:w="0" w:type="dxa"/>
            <w:bottom w:w="0" w:type="dxa"/>
            <w:right w:w="0" w:type="dxa"/>
          </w:tblCellMar>
        </w:tblPrEx>
        <w:trPr>
          <w:trHeight w:val="400" w:hRule="atLeast"/>
          <w:jc w:val="center"/>
        </w:trPr>
        <w:tc>
          <w:tcPr>
            <w:tcW w:w="1116" w:type="dxa"/>
            <w:gridSpan w:val="2"/>
            <w:vMerge w:val="restar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0ADAC8D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bCs/>
                <w:color w:val="000000" w:themeColor="text1"/>
                <w:sz w:val="24"/>
                <w:szCs w:val="24"/>
                <w:lang w:val="zh-CN" w:eastAsia="zh-CN"/>
                <w14:textFill>
                  <w14:solidFill>
                    <w14:schemeClr w14:val="tx1"/>
                  </w14:solidFill>
                </w14:textFill>
              </w:rPr>
            </w:pPr>
            <w:r>
              <w:rPr>
                <w:rFonts w:hint="eastAsia" w:ascii="Times New Roman" w:hAnsi="Times New Roman" w:eastAsia="仿宋" w:cs="Times New Roman"/>
                <w:b/>
                <w:bCs/>
                <w:color w:val="000000" w:themeColor="text1"/>
                <w:sz w:val="24"/>
                <w:szCs w:val="24"/>
                <w:lang w:val="zh-CN" w:eastAsia="zh-CN"/>
                <w14:textFill>
                  <w14:solidFill>
                    <w14:schemeClr w14:val="tx1"/>
                  </w14:solidFill>
                </w14:textFill>
              </w:rPr>
              <w:t>培</w:t>
            </w:r>
          </w:p>
          <w:p w14:paraId="0379A09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bCs/>
                <w:color w:val="000000" w:themeColor="text1"/>
                <w:sz w:val="24"/>
                <w:szCs w:val="24"/>
                <w:lang w:val="zh-CN" w:eastAsia="zh-CN"/>
                <w14:textFill>
                  <w14:solidFill>
                    <w14:schemeClr w14:val="tx1"/>
                  </w14:solidFill>
                </w14:textFill>
              </w:rPr>
            </w:pPr>
            <w:r>
              <w:rPr>
                <w:rFonts w:hint="eastAsia" w:ascii="Times New Roman" w:hAnsi="Times New Roman" w:eastAsia="仿宋" w:cs="Times New Roman"/>
                <w:b/>
                <w:bCs/>
                <w:color w:val="000000" w:themeColor="text1"/>
                <w:sz w:val="24"/>
                <w:szCs w:val="24"/>
                <w:lang w:val="zh-CN" w:eastAsia="zh-CN"/>
                <w14:textFill>
                  <w14:solidFill>
                    <w14:schemeClr w14:val="tx1"/>
                  </w14:solidFill>
                </w14:textFill>
              </w:rPr>
              <w:t>养</w:t>
            </w:r>
          </w:p>
          <w:p w14:paraId="76AA2D1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bCs/>
                <w:color w:val="000000" w:themeColor="text1"/>
                <w:sz w:val="24"/>
                <w:szCs w:val="24"/>
                <w:lang w:val="zh-CN" w:eastAsia="zh-CN"/>
                <w14:textFill>
                  <w14:solidFill>
                    <w14:schemeClr w14:val="tx1"/>
                  </w14:solidFill>
                </w14:textFill>
              </w:rPr>
            </w:pPr>
            <w:r>
              <w:rPr>
                <w:rFonts w:hint="eastAsia" w:ascii="Times New Roman" w:hAnsi="Times New Roman" w:eastAsia="仿宋" w:cs="Times New Roman"/>
                <w:b/>
                <w:bCs/>
                <w:color w:val="000000" w:themeColor="text1"/>
                <w:sz w:val="24"/>
                <w:szCs w:val="24"/>
                <w:lang w:val="zh-CN" w:eastAsia="zh-CN"/>
                <w14:textFill>
                  <w14:solidFill>
                    <w14:schemeClr w14:val="tx1"/>
                  </w14:solidFill>
                </w14:textFill>
              </w:rPr>
              <w:t>环</w:t>
            </w:r>
          </w:p>
          <w:p w14:paraId="69D959F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bCs/>
                <w:color w:val="000000" w:themeColor="text1"/>
                <w:sz w:val="24"/>
                <w:szCs w:val="24"/>
                <w:lang w:val="zh-CN"/>
                <w14:textFill>
                  <w14:solidFill>
                    <w14:schemeClr w14:val="tx1"/>
                  </w14:solidFill>
                </w14:textFill>
              </w:rPr>
            </w:pPr>
            <w:r>
              <w:rPr>
                <w:rFonts w:hint="eastAsia" w:ascii="Times New Roman" w:hAnsi="Times New Roman" w:eastAsia="仿宋" w:cs="Times New Roman"/>
                <w:b/>
                <w:bCs/>
                <w:color w:val="000000" w:themeColor="text1"/>
                <w:sz w:val="24"/>
                <w:szCs w:val="24"/>
                <w:lang w:val="zh-CN" w:eastAsia="zh-CN"/>
                <w14:textFill>
                  <w14:solidFill>
                    <w14:schemeClr w14:val="tx1"/>
                  </w14:solidFill>
                </w14:textFill>
              </w:rPr>
              <w:t>节</w:t>
            </w:r>
          </w:p>
        </w:tc>
        <w:tc>
          <w:tcPr>
            <w:tcW w:w="178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525C8F2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241412542E01</w:t>
            </w:r>
          </w:p>
        </w:tc>
        <w:tc>
          <w:tcPr>
            <w:tcW w:w="236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43EC96C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val="zh-CN"/>
                <w14:textFill>
                  <w14:solidFill>
                    <w14:schemeClr w14:val="tx1"/>
                  </w14:solidFill>
                </w14:textFill>
              </w:rPr>
              <w:t>学术研讨与交流</w:t>
            </w:r>
          </w:p>
        </w:tc>
        <w:tc>
          <w:tcPr>
            <w:tcW w:w="62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660E7F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hint="eastAsia" w:ascii="Times New Roman" w:hAnsi="Times New Roman" w:eastAsia="仿宋" w:cs="Times New Roman"/>
                <w:b w:val="0"/>
                <w:bCs w:val="0"/>
                <w:color w:val="000000" w:themeColor="text1"/>
                <w:sz w:val="24"/>
                <w:szCs w:val="24"/>
                <w14:textFill>
                  <w14:solidFill>
                    <w14:schemeClr w14:val="tx1"/>
                  </w14:solidFill>
                </w14:textFill>
              </w:rPr>
              <w:t>1</w:t>
            </w:r>
            <w:r>
              <w:rPr>
                <w:rFonts w:ascii="Times New Roman" w:hAnsi="Times New Roman" w:eastAsia="仿宋" w:cs="Times New Roman"/>
                <w:b w:val="0"/>
                <w:bCs w:val="0"/>
                <w:color w:val="000000" w:themeColor="text1"/>
                <w:sz w:val="24"/>
                <w:szCs w:val="24"/>
                <w14:textFill>
                  <w14:solidFill>
                    <w14:schemeClr w14:val="tx1"/>
                  </w14:solidFill>
                </w14:textFill>
              </w:rPr>
              <w:t>6</w:t>
            </w:r>
          </w:p>
        </w:tc>
        <w:tc>
          <w:tcPr>
            <w:tcW w:w="54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2EAFFE3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1</w:t>
            </w:r>
          </w:p>
        </w:tc>
        <w:tc>
          <w:tcPr>
            <w:tcW w:w="107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0B87E1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春季</w:t>
            </w:r>
          </w:p>
        </w:tc>
        <w:tc>
          <w:tcPr>
            <w:tcW w:w="170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0CAFB3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各导师</w:t>
            </w:r>
          </w:p>
        </w:tc>
        <w:tc>
          <w:tcPr>
            <w:tcW w:w="843" w:type="dxa"/>
            <w:vMerge w:val="restar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761487A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p>
        </w:tc>
      </w:tr>
      <w:tr w14:paraId="41BA5114">
        <w:tblPrEx>
          <w:tblCellMar>
            <w:top w:w="0" w:type="dxa"/>
            <w:left w:w="0" w:type="dxa"/>
            <w:bottom w:w="0" w:type="dxa"/>
            <w:right w:w="0" w:type="dxa"/>
          </w:tblCellMar>
        </w:tblPrEx>
        <w:trPr>
          <w:trHeight w:val="400" w:hRule="atLeast"/>
          <w:jc w:val="center"/>
        </w:trPr>
        <w:tc>
          <w:tcPr>
            <w:tcW w:w="1116" w:type="dxa"/>
            <w:gridSpan w:val="2"/>
            <w:vMerge w:val="continue"/>
            <w:tcBorders>
              <w:top w:val="single" w:color="auto" w:sz="4" w:space="0"/>
              <w:left w:val="single" w:color="auto" w:sz="4" w:space="0"/>
              <w:bottom w:val="single" w:color="000000" w:sz="2" w:space="0"/>
              <w:right w:val="single" w:color="000000" w:sz="2" w:space="0"/>
            </w:tcBorders>
            <w:vAlign w:val="center"/>
          </w:tcPr>
          <w:p w14:paraId="10A2FD4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p>
        </w:tc>
        <w:tc>
          <w:tcPr>
            <w:tcW w:w="1780" w:type="dxa"/>
            <w:tcBorders>
              <w:top w:val="single" w:color="auto" w:sz="4" w:space="0"/>
              <w:left w:val="single" w:color="000000" w:sz="2" w:space="0"/>
              <w:bottom w:val="single" w:color="000000" w:sz="2" w:space="0"/>
              <w:right w:val="single" w:color="auto" w:sz="4" w:space="0"/>
            </w:tcBorders>
            <w:tcMar>
              <w:top w:w="0" w:type="dxa"/>
              <w:left w:w="28" w:type="dxa"/>
              <w:bottom w:w="0" w:type="dxa"/>
              <w:right w:w="28" w:type="dxa"/>
            </w:tcMar>
            <w:vAlign w:val="center"/>
          </w:tcPr>
          <w:p w14:paraId="57DA8CF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241412542E02</w:t>
            </w:r>
          </w:p>
        </w:tc>
        <w:tc>
          <w:tcPr>
            <w:tcW w:w="236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765EBE3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劳动教育与社会实践</w:t>
            </w:r>
          </w:p>
        </w:tc>
        <w:tc>
          <w:tcPr>
            <w:tcW w:w="62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2BB41FB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hint="eastAsia" w:ascii="Times New Roman" w:hAnsi="Times New Roman" w:eastAsia="仿宋" w:cs="Times New Roman"/>
                <w:b w:val="0"/>
                <w:bCs w:val="0"/>
                <w:color w:val="000000" w:themeColor="text1"/>
                <w:sz w:val="24"/>
                <w:szCs w:val="24"/>
                <w14:textFill>
                  <w14:solidFill>
                    <w14:schemeClr w14:val="tx1"/>
                  </w14:solidFill>
                </w14:textFill>
              </w:rPr>
              <w:t>1</w:t>
            </w:r>
            <w:r>
              <w:rPr>
                <w:rFonts w:ascii="Times New Roman" w:hAnsi="Times New Roman" w:eastAsia="仿宋" w:cs="Times New Roman"/>
                <w:b w:val="0"/>
                <w:bCs w:val="0"/>
                <w:color w:val="000000" w:themeColor="text1"/>
                <w:sz w:val="24"/>
                <w:szCs w:val="24"/>
                <w14:textFill>
                  <w14:solidFill>
                    <w14:schemeClr w14:val="tx1"/>
                  </w14:solidFill>
                </w14:textFill>
              </w:rPr>
              <w:t>6</w:t>
            </w:r>
          </w:p>
        </w:tc>
        <w:tc>
          <w:tcPr>
            <w:tcW w:w="54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830AFB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1</w:t>
            </w:r>
          </w:p>
        </w:tc>
        <w:tc>
          <w:tcPr>
            <w:tcW w:w="107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ED2580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春季</w:t>
            </w:r>
          </w:p>
        </w:tc>
        <w:tc>
          <w:tcPr>
            <w:tcW w:w="170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2687B5C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各导师</w:t>
            </w:r>
          </w:p>
        </w:tc>
        <w:tc>
          <w:tcPr>
            <w:tcW w:w="843" w:type="dxa"/>
            <w:vMerge w:val="continue"/>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F552D5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p>
        </w:tc>
      </w:tr>
      <w:tr w14:paraId="37C3738E">
        <w:tblPrEx>
          <w:tblCellMar>
            <w:top w:w="0" w:type="dxa"/>
            <w:left w:w="0" w:type="dxa"/>
            <w:bottom w:w="0" w:type="dxa"/>
            <w:right w:w="0" w:type="dxa"/>
          </w:tblCellMar>
        </w:tblPrEx>
        <w:trPr>
          <w:trHeight w:val="400" w:hRule="atLeast"/>
          <w:jc w:val="center"/>
        </w:trPr>
        <w:tc>
          <w:tcPr>
            <w:tcW w:w="1116" w:type="dxa"/>
            <w:gridSpan w:val="2"/>
            <w:vMerge w:val="continue"/>
            <w:tcBorders>
              <w:top w:val="single" w:color="000000" w:sz="2" w:space="0"/>
              <w:left w:val="single" w:color="auto" w:sz="4" w:space="0"/>
              <w:bottom w:val="single" w:color="000000" w:sz="2" w:space="0"/>
              <w:right w:val="single" w:color="000000" w:sz="2" w:space="0"/>
            </w:tcBorders>
            <w:vAlign w:val="center"/>
          </w:tcPr>
          <w:p w14:paraId="23C5559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p>
        </w:tc>
        <w:tc>
          <w:tcPr>
            <w:tcW w:w="1780" w:type="dxa"/>
            <w:tcBorders>
              <w:top w:val="single" w:color="000000" w:sz="2" w:space="0"/>
              <w:left w:val="single" w:color="000000" w:sz="2" w:space="0"/>
              <w:bottom w:val="single" w:color="000000" w:sz="2" w:space="0"/>
              <w:right w:val="single" w:color="auto" w:sz="4" w:space="0"/>
            </w:tcBorders>
            <w:tcMar>
              <w:top w:w="0" w:type="dxa"/>
              <w:left w:w="28" w:type="dxa"/>
              <w:bottom w:w="0" w:type="dxa"/>
              <w:right w:w="28" w:type="dxa"/>
            </w:tcMar>
            <w:vAlign w:val="center"/>
          </w:tcPr>
          <w:p w14:paraId="647250B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241412542E03</w:t>
            </w:r>
          </w:p>
        </w:tc>
        <w:tc>
          <w:tcPr>
            <w:tcW w:w="236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108F267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val="zh-CN"/>
                <w14:textFill>
                  <w14:solidFill>
                    <w14:schemeClr w14:val="tx1"/>
                  </w14:solidFill>
                </w14:textFill>
              </w:rPr>
              <w:t>专业实习</w:t>
            </w:r>
          </w:p>
        </w:tc>
        <w:tc>
          <w:tcPr>
            <w:tcW w:w="62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5EC28C1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r>
              <w:rPr>
                <w:rFonts w:hint="eastAsia" w:ascii="Times New Roman" w:hAnsi="Times New Roman" w:eastAsia="仿宋" w:cs="Times New Roman"/>
                <w:b w:val="0"/>
                <w:bCs w:val="0"/>
                <w:color w:val="000000" w:themeColor="text1"/>
                <w:sz w:val="24"/>
                <w:szCs w:val="24"/>
                <w14:textFill>
                  <w14:solidFill>
                    <w14:schemeClr w14:val="tx1"/>
                  </w14:solidFill>
                </w14:textFill>
              </w:rPr>
              <w:t>6</w:t>
            </w:r>
            <w:r>
              <w:rPr>
                <w:rFonts w:ascii="Times New Roman" w:hAnsi="Times New Roman" w:eastAsia="仿宋" w:cs="Times New Roman"/>
                <w:b w:val="0"/>
                <w:bCs w:val="0"/>
                <w:color w:val="000000" w:themeColor="text1"/>
                <w:sz w:val="24"/>
                <w:szCs w:val="24"/>
                <w14:textFill>
                  <w14:solidFill>
                    <w14:schemeClr w14:val="tx1"/>
                  </w14:solidFill>
                </w14:textFill>
              </w:rPr>
              <w:t>4</w:t>
            </w:r>
          </w:p>
        </w:tc>
        <w:tc>
          <w:tcPr>
            <w:tcW w:w="54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8858D1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4</w:t>
            </w:r>
          </w:p>
        </w:tc>
        <w:tc>
          <w:tcPr>
            <w:tcW w:w="107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683C9A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秋季</w:t>
            </w:r>
          </w:p>
        </w:tc>
        <w:tc>
          <w:tcPr>
            <w:tcW w:w="170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8DB30D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14:textFill>
                  <w14:solidFill>
                    <w14:schemeClr w14:val="tx1"/>
                  </w14:solidFill>
                </w14:textFill>
              </w:rPr>
              <w:t>各导师</w:t>
            </w:r>
          </w:p>
        </w:tc>
        <w:tc>
          <w:tcPr>
            <w:tcW w:w="843" w:type="dxa"/>
            <w:vMerge w:val="continue"/>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BEE15B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p>
        </w:tc>
      </w:tr>
      <w:tr w14:paraId="1C47916D">
        <w:tblPrEx>
          <w:tblCellMar>
            <w:top w:w="0" w:type="dxa"/>
            <w:left w:w="0" w:type="dxa"/>
            <w:bottom w:w="0" w:type="dxa"/>
            <w:right w:w="0" w:type="dxa"/>
          </w:tblCellMar>
        </w:tblPrEx>
        <w:trPr>
          <w:trHeight w:val="400" w:hRule="atLeast"/>
          <w:jc w:val="center"/>
        </w:trPr>
        <w:tc>
          <w:tcPr>
            <w:tcW w:w="1116" w:type="dxa"/>
            <w:gridSpan w:val="2"/>
            <w:vMerge w:val="continue"/>
            <w:tcBorders>
              <w:top w:val="single" w:color="000000" w:sz="2" w:space="0"/>
              <w:left w:val="single" w:color="auto" w:sz="4" w:space="0"/>
              <w:bottom w:val="single" w:color="000000" w:sz="2" w:space="0"/>
              <w:right w:val="single" w:color="auto" w:sz="4" w:space="0"/>
            </w:tcBorders>
            <w:vAlign w:val="center"/>
          </w:tcPr>
          <w:p w14:paraId="6034EE4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p>
        </w:tc>
        <w:tc>
          <w:tcPr>
            <w:tcW w:w="4140"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9A5A52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bCs/>
                <w:color w:val="000000" w:themeColor="text1"/>
                <w:sz w:val="24"/>
                <w:szCs w:val="24"/>
                <w:lang w:val="zh-CN"/>
                <w14:textFill>
                  <w14:solidFill>
                    <w14:schemeClr w14:val="tx1"/>
                  </w14:solidFill>
                </w14:textFill>
              </w:rPr>
            </w:pPr>
            <w:r>
              <w:rPr>
                <w:rFonts w:ascii="Times New Roman" w:hAnsi="Times New Roman" w:eastAsia="仿宋" w:cs="Times New Roman"/>
                <w:b/>
                <w:bCs/>
                <w:color w:val="000000" w:themeColor="text1"/>
                <w:sz w:val="24"/>
                <w:szCs w:val="24"/>
                <w:lang w:val="zh-CN"/>
                <w14:textFill>
                  <w14:solidFill>
                    <w14:schemeClr w14:val="tx1"/>
                  </w14:solidFill>
                </w14:textFill>
              </w:rPr>
              <w:t>小计</w:t>
            </w:r>
          </w:p>
        </w:tc>
        <w:tc>
          <w:tcPr>
            <w:tcW w:w="62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12BEC6E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r>
              <w:rPr>
                <w:rFonts w:hint="eastAsia" w:ascii="Times New Roman" w:hAnsi="Times New Roman" w:eastAsia="仿宋" w:cs="Times New Roman"/>
                <w:b/>
                <w:bCs/>
                <w:color w:val="000000" w:themeColor="text1"/>
                <w:sz w:val="24"/>
                <w:szCs w:val="24"/>
                <w14:textFill>
                  <w14:solidFill>
                    <w14:schemeClr w14:val="tx1"/>
                  </w14:solidFill>
                </w14:textFill>
              </w:rPr>
              <w:t>9</w:t>
            </w:r>
            <w:r>
              <w:rPr>
                <w:rFonts w:ascii="Times New Roman" w:hAnsi="Times New Roman" w:eastAsia="仿宋" w:cs="Times New Roman"/>
                <w:b/>
                <w:bCs/>
                <w:color w:val="000000" w:themeColor="text1"/>
                <w:sz w:val="24"/>
                <w:szCs w:val="24"/>
                <w14:textFill>
                  <w14:solidFill>
                    <w14:schemeClr w14:val="tx1"/>
                  </w14:solidFill>
                </w14:textFill>
              </w:rPr>
              <w:t>6</w:t>
            </w:r>
          </w:p>
        </w:tc>
        <w:tc>
          <w:tcPr>
            <w:tcW w:w="54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BE25D8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r>
              <w:rPr>
                <w:rFonts w:ascii="Times New Roman" w:hAnsi="Times New Roman" w:eastAsia="仿宋" w:cs="Times New Roman"/>
                <w:b/>
                <w:bCs/>
                <w:color w:val="000000" w:themeColor="text1"/>
                <w:sz w:val="24"/>
                <w:szCs w:val="24"/>
                <w14:textFill>
                  <w14:solidFill>
                    <w14:schemeClr w14:val="tx1"/>
                  </w14:solidFill>
                </w14:textFill>
              </w:rPr>
              <w:t>6</w:t>
            </w:r>
          </w:p>
        </w:tc>
        <w:tc>
          <w:tcPr>
            <w:tcW w:w="107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762B897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bCs/>
                <w:color w:val="000000" w:themeColor="text1"/>
                <w:sz w:val="24"/>
                <w:szCs w:val="24"/>
                <w14:textFill>
                  <w14:solidFill>
                    <w14:schemeClr w14:val="tx1"/>
                  </w14:solidFill>
                </w14:textFill>
              </w:rPr>
            </w:pPr>
          </w:p>
        </w:tc>
        <w:tc>
          <w:tcPr>
            <w:tcW w:w="170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7F45909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p>
        </w:tc>
        <w:tc>
          <w:tcPr>
            <w:tcW w:w="84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2AC9D6F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14:textFill>
                  <w14:solidFill>
                    <w14:schemeClr w14:val="tx1"/>
                  </w14:solidFill>
                </w14:textFill>
              </w:rPr>
            </w:pPr>
          </w:p>
        </w:tc>
      </w:tr>
      <w:tr w14:paraId="61C6DBB8">
        <w:tblPrEx>
          <w:tblCellMar>
            <w:top w:w="0" w:type="dxa"/>
            <w:left w:w="0" w:type="dxa"/>
            <w:bottom w:w="0" w:type="dxa"/>
            <w:right w:w="0" w:type="dxa"/>
          </w:tblCellMar>
        </w:tblPrEx>
        <w:trPr>
          <w:trHeight w:val="400" w:hRule="atLeast"/>
          <w:jc w:val="center"/>
        </w:trPr>
        <w:tc>
          <w:tcPr>
            <w:tcW w:w="2896" w:type="dxa"/>
            <w:gridSpan w:val="3"/>
            <w:tcBorders>
              <w:top w:val="single" w:color="000000" w:sz="2" w:space="0"/>
              <w:left w:val="single" w:color="000000" w:sz="2" w:space="0"/>
              <w:bottom w:val="single" w:color="000000" w:sz="2" w:space="0"/>
              <w:right w:val="single" w:color="auto" w:sz="4" w:space="0"/>
            </w:tcBorders>
            <w:tcMar>
              <w:top w:w="0" w:type="dxa"/>
              <w:left w:w="28" w:type="dxa"/>
              <w:bottom w:w="0" w:type="dxa"/>
              <w:right w:w="28" w:type="dxa"/>
            </w:tcMar>
            <w:vAlign w:val="center"/>
          </w:tcPr>
          <w:p w14:paraId="00A2CD1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bCs/>
                <w:color w:val="000000" w:themeColor="text1"/>
                <w:sz w:val="24"/>
                <w:szCs w:val="24"/>
                <w:lang w:val="zh-CN"/>
                <w14:textFill>
                  <w14:solidFill>
                    <w14:schemeClr w14:val="tx1"/>
                  </w14:solidFill>
                </w14:textFill>
              </w:rPr>
            </w:pPr>
            <w:r>
              <w:rPr>
                <w:rFonts w:ascii="Times New Roman" w:hAnsi="Times New Roman" w:eastAsia="仿宋" w:cs="Times New Roman"/>
                <w:b/>
                <w:bCs/>
                <w:color w:val="000000" w:themeColor="text1"/>
                <w:sz w:val="24"/>
                <w:szCs w:val="24"/>
                <w:lang w:val="zh-CN"/>
                <w14:textFill>
                  <w14:solidFill>
                    <w14:schemeClr w14:val="tx1"/>
                  </w14:solidFill>
                </w14:textFill>
              </w:rPr>
              <w:t>毕业应修总学分</w:t>
            </w:r>
          </w:p>
        </w:tc>
        <w:tc>
          <w:tcPr>
            <w:tcW w:w="7143" w:type="dxa"/>
            <w:gridSpan w:val="6"/>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B9F853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bCs/>
                <w:color w:val="000000" w:themeColor="text1"/>
                <w:sz w:val="24"/>
                <w:szCs w:val="24"/>
                <w:lang w:val="zh-CN"/>
                <w14:textFill>
                  <w14:solidFill>
                    <w14:schemeClr w14:val="tx1"/>
                  </w14:solidFill>
                </w14:textFill>
              </w:rPr>
            </w:pPr>
            <w:r>
              <w:rPr>
                <w:rFonts w:ascii="Times New Roman" w:hAnsi="Times New Roman" w:eastAsia="仿宋" w:cs="Times New Roman"/>
                <w:b/>
                <w:bCs/>
                <w:color w:val="000000" w:themeColor="text1"/>
                <w:sz w:val="24"/>
                <w:szCs w:val="24"/>
                <w14:textFill>
                  <w14:solidFill>
                    <w14:schemeClr w14:val="tx1"/>
                  </w14:solidFill>
                </w14:textFill>
              </w:rPr>
              <w:t>36</w:t>
            </w:r>
            <w:r>
              <w:rPr>
                <w:rFonts w:ascii="Times New Roman" w:hAnsi="Times New Roman" w:eastAsia="仿宋" w:cs="Times New Roman"/>
                <w:b/>
                <w:bCs/>
                <w:color w:val="000000" w:themeColor="text1"/>
                <w:sz w:val="24"/>
                <w:szCs w:val="24"/>
                <w:lang w:val="zh-CN"/>
                <w14:textFill>
                  <w14:solidFill>
                    <w14:schemeClr w14:val="tx1"/>
                  </w14:solidFill>
                </w14:textFill>
              </w:rPr>
              <w:t>学分</w:t>
            </w:r>
          </w:p>
        </w:tc>
      </w:tr>
      <w:tr w14:paraId="431F20A0">
        <w:tblPrEx>
          <w:tblCellMar>
            <w:top w:w="0" w:type="dxa"/>
            <w:left w:w="0" w:type="dxa"/>
            <w:bottom w:w="0" w:type="dxa"/>
            <w:right w:w="0" w:type="dxa"/>
          </w:tblCellMar>
        </w:tblPrEx>
        <w:trPr>
          <w:trHeight w:val="1219" w:hRule="atLeast"/>
          <w:jc w:val="center"/>
        </w:trPr>
        <w:tc>
          <w:tcPr>
            <w:tcW w:w="2896" w:type="dxa"/>
            <w:gridSpan w:val="3"/>
            <w:tcBorders>
              <w:top w:val="single" w:color="000000" w:sz="2" w:space="0"/>
              <w:left w:val="single" w:color="000000" w:sz="2" w:space="0"/>
              <w:bottom w:val="single" w:color="000000" w:sz="2" w:space="0"/>
              <w:right w:val="single" w:color="auto" w:sz="4" w:space="0"/>
            </w:tcBorders>
            <w:tcMar>
              <w:top w:w="0" w:type="dxa"/>
              <w:left w:w="28" w:type="dxa"/>
              <w:bottom w:w="0" w:type="dxa"/>
              <w:right w:w="28" w:type="dxa"/>
            </w:tcMar>
            <w:vAlign w:val="center"/>
          </w:tcPr>
          <w:p w14:paraId="24E804A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bCs/>
                <w:color w:val="000000" w:themeColor="text1"/>
                <w:sz w:val="24"/>
                <w:szCs w:val="24"/>
                <w:lang w:val="zh-CN"/>
                <w14:textFill>
                  <w14:solidFill>
                    <w14:schemeClr w14:val="tx1"/>
                  </w14:solidFill>
                </w14:textFill>
              </w:rPr>
              <w:t>备注</w:t>
            </w:r>
          </w:p>
        </w:tc>
        <w:tc>
          <w:tcPr>
            <w:tcW w:w="7143" w:type="dxa"/>
            <w:gridSpan w:val="6"/>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5AF9A8BD">
            <w:pPr>
              <w:snapToGrid w:val="0"/>
              <w:spacing w:line="240" w:lineRule="auto"/>
              <w:ind w:left="0" w:leftChars="0" w:right="0" w:rightChars="0" w:firstLine="0" w:firstLineChars="0"/>
              <w:jc w:val="left"/>
              <w:rPr>
                <w:rFonts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val="zh-CN"/>
                <w14:textFill>
                  <w14:solidFill>
                    <w14:schemeClr w14:val="tx1"/>
                  </w14:solidFill>
                </w14:textFill>
              </w:rPr>
              <w:t>1.补修课程：</w:t>
            </w:r>
            <w:r>
              <w:rPr>
                <w:rFonts w:ascii="Times New Roman" w:hAnsi="Times New Roman" w:eastAsia="仿宋" w:cs="Times New Roman"/>
                <w:b w:val="0"/>
                <w:bCs w:val="0"/>
                <w:color w:val="000000" w:themeColor="text1"/>
                <w:sz w:val="24"/>
                <w:szCs w:val="24"/>
                <w14:textFill>
                  <w14:solidFill>
                    <w14:schemeClr w14:val="tx1"/>
                  </w14:solidFill>
                </w14:textFill>
              </w:rPr>
              <w:t>241412542G01</w:t>
            </w:r>
            <w:r>
              <w:rPr>
                <w:rFonts w:ascii="Times New Roman" w:hAnsi="Times New Roman" w:eastAsia="仿宋" w:cs="Times New Roman"/>
                <w:b w:val="0"/>
                <w:bCs w:val="0"/>
                <w:color w:val="000000" w:themeColor="text1"/>
                <w:sz w:val="24"/>
                <w:szCs w:val="24"/>
                <w:lang w:val="zh-CN"/>
                <w14:textFill>
                  <w14:solidFill>
                    <w14:schemeClr w14:val="tx1"/>
                  </w14:solidFill>
                </w14:textFill>
              </w:rPr>
              <w:t>基础旅游学、</w:t>
            </w:r>
            <w:r>
              <w:rPr>
                <w:rFonts w:ascii="Times New Roman" w:hAnsi="Times New Roman" w:eastAsia="仿宋" w:cs="Times New Roman"/>
                <w:b w:val="0"/>
                <w:bCs w:val="0"/>
                <w:color w:val="000000" w:themeColor="text1"/>
                <w:sz w:val="24"/>
                <w:szCs w:val="24"/>
                <w14:textFill>
                  <w14:solidFill>
                    <w14:schemeClr w14:val="tx1"/>
                  </w14:solidFill>
                </w14:textFill>
              </w:rPr>
              <w:t>24142542G02</w:t>
            </w:r>
            <w:r>
              <w:rPr>
                <w:rFonts w:ascii="Times New Roman" w:hAnsi="Times New Roman" w:eastAsia="仿宋" w:cs="Times New Roman"/>
                <w:b w:val="0"/>
                <w:bCs w:val="0"/>
                <w:color w:val="000000" w:themeColor="text1"/>
                <w:sz w:val="24"/>
                <w:szCs w:val="24"/>
                <w:lang w:val="zh-CN"/>
                <w14:textFill>
                  <w14:solidFill>
                    <w14:schemeClr w14:val="tx1"/>
                  </w14:solidFill>
                </w14:textFill>
              </w:rPr>
              <w:t>旅游经济学。</w:t>
            </w:r>
          </w:p>
          <w:p w14:paraId="11D809AA">
            <w:pPr>
              <w:snapToGrid w:val="0"/>
              <w:spacing w:line="240" w:lineRule="auto"/>
              <w:ind w:left="0" w:leftChars="0" w:right="0" w:rightChars="0" w:firstLine="0" w:firstLineChars="0"/>
              <w:jc w:val="left"/>
              <w:rPr>
                <w:rFonts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val="zh-CN"/>
                <w14:textFill>
                  <w14:solidFill>
                    <w14:schemeClr w14:val="tx1"/>
                  </w14:solidFill>
                </w14:textFill>
              </w:rPr>
              <w:t>2.公共学位课由研究生院统一安排和选聘教师授课。</w:t>
            </w:r>
          </w:p>
          <w:p w14:paraId="68C405CB">
            <w:pPr>
              <w:snapToGrid w:val="0"/>
              <w:spacing w:line="240" w:lineRule="auto"/>
              <w:ind w:left="0" w:leftChars="0" w:right="0" w:rightChars="0" w:firstLine="0" w:firstLineChars="0"/>
              <w:jc w:val="left"/>
              <w:rPr>
                <w:rFonts w:ascii="Times New Roman" w:hAnsi="Times New Roman" w:eastAsia="仿宋" w:cs="Times New Roman"/>
                <w:b w:val="0"/>
                <w:bCs w:val="0"/>
                <w:color w:val="000000" w:themeColor="text1"/>
                <w:sz w:val="24"/>
                <w:szCs w:val="24"/>
                <w:lang w:val="zh-CN"/>
                <w14:textFill>
                  <w14:solidFill>
                    <w14:schemeClr w14:val="tx1"/>
                  </w14:solidFill>
                </w14:textFill>
              </w:rPr>
            </w:pPr>
            <w:r>
              <w:rPr>
                <w:rFonts w:ascii="Times New Roman" w:hAnsi="Times New Roman" w:eastAsia="仿宋" w:cs="Times New Roman"/>
                <w:b w:val="0"/>
                <w:bCs w:val="0"/>
                <w:color w:val="000000" w:themeColor="text1"/>
                <w:sz w:val="24"/>
                <w:szCs w:val="24"/>
                <w:lang w:val="zh-CN"/>
                <w14:textFill>
                  <w14:solidFill>
                    <w14:schemeClr w14:val="tx1"/>
                  </w14:solidFill>
                </w14:textFill>
              </w:rPr>
              <w:t>3.在本科阶段没有系统学习过指定补修课程的（以成绩单为准）研究生、跨学科或以同等学力考取的研究生，须补修指定的补修课程，同时参加相应的课程考试，并取得合格成绩，不计学分。</w:t>
            </w:r>
          </w:p>
        </w:tc>
      </w:tr>
    </w:tbl>
    <w:p w14:paraId="60C5CA8E">
      <w:pPr>
        <w:pStyle w:val="2"/>
        <w:spacing w:before="0" w:after="0" w:line="520" w:lineRule="exact"/>
        <w:ind w:firstLine="560" w:firstLineChars="200"/>
        <w:rPr>
          <w:rFonts w:hint="eastAsia" w:ascii="Times New Roman" w:hAnsi="Times New Roman" w:eastAsia="楷体" w:cs="Times New Roman"/>
          <w:b w:val="0"/>
          <w:bCs w:val="0"/>
          <w:color w:val="000000"/>
          <w:kern w:val="2"/>
          <w:sz w:val="28"/>
          <w:szCs w:val="28"/>
          <w:lang w:val="en-US" w:eastAsia="zh-CN" w:bidi="ar-SA"/>
        </w:rPr>
      </w:pPr>
      <w:r>
        <w:rPr>
          <w:rFonts w:hint="eastAsia" w:ascii="Times New Roman" w:hAnsi="Times New Roman" w:eastAsia="楷体" w:cs="Times New Roman"/>
          <w:b w:val="0"/>
          <w:bCs w:val="0"/>
          <w:color w:val="000000"/>
          <w:kern w:val="2"/>
          <w:sz w:val="28"/>
          <w:szCs w:val="28"/>
          <w:lang w:val="en-US" w:eastAsia="zh-CN" w:bidi="ar-SA"/>
        </w:rPr>
        <w:t>（二）加强师资队伍建设</w:t>
      </w:r>
    </w:p>
    <w:p w14:paraId="5E4647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eastAsia" w:ascii="Times New Roman" w:hAnsi="Times New Roman" w:eastAsia="仿宋" w:cs="Times New Roman"/>
          <w:b w:val="0"/>
          <w:bCs w:val="0"/>
          <w:color w:val="000000"/>
          <w:sz w:val="28"/>
          <w:szCs w:val="28"/>
        </w:rPr>
      </w:pPr>
      <w:r>
        <w:rPr>
          <w:rFonts w:hint="eastAsia" w:ascii="Times New Roman" w:hAnsi="Times New Roman" w:eastAsia="仿宋" w:cs="Times New Roman"/>
          <w:b w:val="0"/>
          <w:bCs w:val="0"/>
          <w:color w:val="auto"/>
          <w:sz w:val="28"/>
          <w:szCs w:val="28"/>
          <w:lang w:val="en-US" w:bidi="zh-CN"/>
        </w:rPr>
        <w:t>本</w:t>
      </w:r>
      <w:r>
        <w:rPr>
          <w:rFonts w:hint="eastAsia" w:ascii="Times New Roman" w:hAnsi="Times New Roman" w:eastAsia="仿宋" w:cs="Times New Roman"/>
          <w:b w:val="0"/>
          <w:bCs w:val="0"/>
          <w:color w:val="auto"/>
          <w:sz w:val="28"/>
          <w:szCs w:val="28"/>
          <w:lang w:bidi="zh-CN"/>
        </w:rPr>
        <w:t>学位点师资力量雄厚、队伍结构合理。</w:t>
      </w:r>
      <w:r>
        <w:rPr>
          <w:rFonts w:hint="eastAsia" w:ascii="Times New Roman" w:hAnsi="Times New Roman" w:eastAsia="仿宋" w:cs="Times New Roman"/>
          <w:b w:val="0"/>
          <w:bCs w:val="0"/>
          <w:color w:val="auto"/>
          <w:sz w:val="28"/>
          <w:szCs w:val="28"/>
          <w:lang w:val="en-US" w:eastAsia="zh-CN" w:bidi="zh-CN"/>
        </w:rPr>
        <w:t>现有</w:t>
      </w:r>
      <w:r>
        <w:rPr>
          <w:rFonts w:hint="default" w:ascii="Times New Roman" w:hAnsi="Times New Roman" w:eastAsia="仿宋" w:cs="Times New Roman"/>
          <w:b w:val="0"/>
          <w:bCs w:val="0"/>
          <w:color w:val="auto"/>
          <w:sz w:val="28"/>
          <w:szCs w:val="28"/>
          <w:lang w:val="en-US" w:eastAsia="zh-CN" w:bidi="zh-CN"/>
        </w:rPr>
        <w:t>22</w:t>
      </w:r>
      <w:r>
        <w:rPr>
          <w:rFonts w:hint="eastAsia" w:ascii="Times New Roman" w:hAnsi="Times New Roman" w:eastAsia="仿宋" w:cs="Times New Roman"/>
          <w:b w:val="0"/>
          <w:bCs w:val="0"/>
          <w:color w:val="auto"/>
          <w:sz w:val="28"/>
          <w:szCs w:val="28"/>
          <w:lang w:val="en-US" w:eastAsia="zh-CN" w:bidi="zh-CN"/>
        </w:rPr>
        <w:t>名专任教师，正高级</w:t>
      </w:r>
      <w:r>
        <w:rPr>
          <w:rFonts w:hint="default" w:ascii="Times New Roman" w:hAnsi="Times New Roman" w:eastAsia="仿宋" w:cs="Times New Roman"/>
          <w:b w:val="0"/>
          <w:bCs w:val="0"/>
          <w:color w:val="auto"/>
          <w:sz w:val="28"/>
          <w:szCs w:val="28"/>
          <w:lang w:val="en-US" w:eastAsia="zh-CN" w:bidi="zh-CN"/>
        </w:rPr>
        <w:t>10</w:t>
      </w:r>
      <w:r>
        <w:rPr>
          <w:rFonts w:hint="eastAsia" w:ascii="Times New Roman" w:hAnsi="Times New Roman" w:eastAsia="仿宋" w:cs="Times New Roman"/>
          <w:b w:val="0"/>
          <w:bCs w:val="0"/>
          <w:color w:val="auto"/>
          <w:sz w:val="28"/>
          <w:szCs w:val="28"/>
          <w:lang w:val="en-US" w:eastAsia="zh-CN" w:bidi="zh-CN"/>
        </w:rPr>
        <w:t>人（占比</w:t>
      </w:r>
      <w:r>
        <w:rPr>
          <w:rFonts w:hint="default" w:ascii="Times New Roman" w:hAnsi="Times New Roman" w:eastAsia="仿宋" w:cs="Times New Roman"/>
          <w:b w:val="0"/>
          <w:bCs w:val="0"/>
          <w:color w:val="auto"/>
          <w:sz w:val="28"/>
          <w:szCs w:val="28"/>
          <w:lang w:val="en-US" w:eastAsia="zh-CN" w:bidi="zh-CN"/>
        </w:rPr>
        <w:t>45.5%</w:t>
      </w:r>
      <w:r>
        <w:rPr>
          <w:rFonts w:hint="eastAsia" w:ascii="Times New Roman" w:hAnsi="Times New Roman" w:eastAsia="仿宋" w:cs="Times New Roman"/>
          <w:b w:val="0"/>
          <w:bCs w:val="0"/>
          <w:color w:val="auto"/>
          <w:sz w:val="28"/>
          <w:szCs w:val="28"/>
          <w:lang w:val="en-US" w:eastAsia="zh-CN" w:bidi="zh-CN"/>
        </w:rPr>
        <w:t>），博士学位</w:t>
      </w:r>
      <w:r>
        <w:rPr>
          <w:rFonts w:hint="default" w:ascii="Times New Roman" w:hAnsi="Times New Roman" w:eastAsia="仿宋" w:cs="Times New Roman"/>
          <w:b w:val="0"/>
          <w:bCs w:val="0"/>
          <w:color w:val="auto"/>
          <w:sz w:val="28"/>
          <w:szCs w:val="28"/>
          <w:lang w:val="en-US" w:eastAsia="zh-CN" w:bidi="zh-CN"/>
        </w:rPr>
        <w:t>18</w:t>
      </w:r>
      <w:r>
        <w:rPr>
          <w:rFonts w:hint="eastAsia" w:ascii="Times New Roman" w:hAnsi="Times New Roman" w:eastAsia="仿宋" w:cs="Times New Roman"/>
          <w:b w:val="0"/>
          <w:bCs w:val="0"/>
          <w:color w:val="auto"/>
          <w:sz w:val="28"/>
          <w:szCs w:val="28"/>
          <w:lang w:val="en-US" w:eastAsia="zh-CN" w:bidi="zh-CN"/>
        </w:rPr>
        <w:t>人（占比</w:t>
      </w:r>
      <w:r>
        <w:rPr>
          <w:rFonts w:hint="default" w:ascii="Times New Roman" w:hAnsi="Times New Roman" w:eastAsia="仿宋" w:cs="Times New Roman"/>
          <w:b w:val="0"/>
          <w:bCs w:val="0"/>
          <w:color w:val="auto"/>
          <w:sz w:val="28"/>
          <w:szCs w:val="28"/>
          <w:lang w:val="en-US" w:eastAsia="zh-CN" w:bidi="zh-CN"/>
        </w:rPr>
        <w:t>81.8%</w:t>
      </w:r>
      <w:r>
        <w:rPr>
          <w:rFonts w:hint="eastAsia" w:ascii="Times New Roman" w:hAnsi="Times New Roman" w:eastAsia="仿宋" w:cs="Times New Roman"/>
          <w:b w:val="0"/>
          <w:bCs w:val="0"/>
          <w:color w:val="auto"/>
          <w:sz w:val="28"/>
          <w:szCs w:val="28"/>
          <w:lang w:val="en-US" w:eastAsia="zh-CN" w:bidi="zh-CN"/>
        </w:rPr>
        <w:t>），导师18名（占比</w:t>
      </w:r>
      <w:r>
        <w:rPr>
          <w:rFonts w:hint="default" w:ascii="Times New Roman" w:hAnsi="Times New Roman" w:eastAsia="仿宋" w:cs="Times New Roman"/>
          <w:b w:val="0"/>
          <w:bCs w:val="0"/>
          <w:color w:val="auto"/>
          <w:sz w:val="28"/>
          <w:szCs w:val="28"/>
          <w:lang w:val="en-US" w:eastAsia="zh-CN" w:bidi="zh-CN"/>
        </w:rPr>
        <w:t>81.8%</w:t>
      </w:r>
      <w:r>
        <w:rPr>
          <w:rFonts w:hint="eastAsia" w:ascii="Times New Roman" w:hAnsi="Times New Roman" w:eastAsia="仿宋" w:cs="Times New Roman"/>
          <w:b w:val="0"/>
          <w:bCs w:val="0"/>
          <w:color w:val="auto"/>
          <w:sz w:val="28"/>
          <w:szCs w:val="28"/>
          <w:lang w:val="en-US" w:eastAsia="zh-CN" w:bidi="zh-CN"/>
        </w:rPr>
        <w:t>）；</w:t>
      </w:r>
      <w:r>
        <w:rPr>
          <w:rFonts w:hint="eastAsia" w:ascii="Times New Roman" w:hAnsi="Times New Roman" w:eastAsia="仿宋" w:cs="Times New Roman"/>
          <w:b w:val="0"/>
          <w:bCs w:val="0"/>
          <w:color w:val="000000"/>
          <w:kern w:val="0"/>
          <w:sz w:val="28"/>
          <w:szCs w:val="28"/>
          <w:lang w:val="en-US" w:eastAsia="zh-CN" w:bidi="ar"/>
        </w:rPr>
        <w:t>本年度建设了3个校级MTA教学案例库、9个省部级实践教学基地。经过持续建设，本学位点在师资结构、高水平课程、实践基地、生源质量、教学科研平台等各个方面，均已全面达到并部分优于国家规定的新增学位授权申请基本条件，具备了高质量开展MTA人才培养的坚实基础与综合实力。</w:t>
      </w:r>
    </w:p>
    <w:p w14:paraId="3A621C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eastAsia" w:ascii="Times New Roman" w:hAnsi="Times New Roman" w:eastAsia="仿宋" w:cs="Times New Roman"/>
          <w:b w:val="0"/>
          <w:bCs w:val="0"/>
          <w:color w:val="000000"/>
          <w:sz w:val="28"/>
          <w:szCs w:val="28"/>
        </w:rPr>
      </w:pPr>
      <w:r>
        <w:rPr>
          <w:rFonts w:hint="eastAsia" w:ascii="Times New Roman" w:hAnsi="Times New Roman" w:eastAsia="仿宋" w:cs="Times New Roman"/>
          <w:b w:val="0"/>
          <w:bCs w:val="0"/>
          <w:i w:val="0"/>
          <w:iCs w:val="0"/>
          <w:caps w:val="0"/>
          <w:color w:val="000000"/>
          <w:spacing w:val="0"/>
          <w:kern w:val="0"/>
          <w:sz w:val="28"/>
          <w:szCs w:val="28"/>
          <w:lang w:val="en-US" w:eastAsia="zh-CN" w:bidi="ar"/>
        </w:rPr>
        <w:t>聘请21名资深行业导师</w:t>
      </w:r>
      <w:r>
        <w:rPr>
          <w:rFonts w:hint="eastAsia" w:ascii="Times New Roman" w:hAnsi="Times New Roman" w:eastAsia="仿宋" w:cs="Times New Roman"/>
          <w:b w:val="0"/>
          <w:bCs w:val="0"/>
          <w:color w:val="000000"/>
          <w:kern w:val="0"/>
          <w:sz w:val="28"/>
          <w:szCs w:val="28"/>
          <w:lang w:val="en-US" w:eastAsia="zh-CN" w:bidi="ar"/>
        </w:rPr>
        <w:t>，来自湖南省文化和旅游厅、湖南省旅游协会、湖南省电广传媒股份有限公司、广州南沙大酒店等20家单位，多为行业领军人物，研究生学历或高级经济师职称者占比80%以上。</w:t>
      </w:r>
    </w:p>
    <w:p w14:paraId="6ACEA0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eastAsia" w:ascii="Times New Roman" w:hAnsi="Times New Roman" w:eastAsia="仿宋" w:cs="Times New Roman"/>
          <w:b w:val="0"/>
          <w:bCs w:val="0"/>
          <w:color w:val="000000"/>
          <w:sz w:val="28"/>
          <w:szCs w:val="28"/>
        </w:rPr>
      </w:pPr>
      <w:r>
        <w:rPr>
          <w:rFonts w:hint="eastAsia" w:ascii="Times New Roman" w:hAnsi="Times New Roman" w:eastAsia="仿宋" w:cs="Times New Roman"/>
          <w:b w:val="0"/>
          <w:bCs w:val="0"/>
          <w:color w:val="000000"/>
          <w:kern w:val="0"/>
          <w:sz w:val="28"/>
          <w:szCs w:val="28"/>
          <w:lang w:val="en-US" w:eastAsia="zh-CN" w:bidi="ar"/>
        </w:rPr>
        <w:t>专任教师行业经历丰富。7位专任教师具有3年以上文旅行业工作经历，如何天祥在湖南省旅游标准化技术委员会任副主任，麻学锋任中国旅游地理专业委员会委员，生延超任湖南顶好餐饮管理有限公司股东，罗茜任湖南省会展经济研究会副会长，教师们将行业经验融入教学，如生延超在《旅游营销》课程中引入数字营销案例。何天祥教授常德澧县调研报告获得省委常委批示，应用于澧县城头山开发；主持湖南省文旅重大专项《文旅元宇宙平台关键技术研发》，通过政校企合作应用于长沙杜甫江阁和学校湘商博物馆。校外导师来自湖南省商务厅、湖南省文化和旅游厅、湖南省文化和旅游标准化技术委员会等单位，多为国内旅游业界或湖南省旅游实业界的重要领军人物；校外导师还深度参与到MTA硕士生专业讲座、实习基地建设和就业指导等多个环节。</w:t>
      </w:r>
    </w:p>
    <w:p w14:paraId="18DB2CC8">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仿宋" w:cs="Times New Roman"/>
          <w:b w:val="0"/>
          <w:bCs w:val="0"/>
          <w:color w:val="000000"/>
          <w:sz w:val="28"/>
          <w:szCs w:val="28"/>
        </w:rPr>
      </w:pPr>
      <w:r>
        <w:rPr>
          <w:rFonts w:hint="eastAsia" w:ascii="Times New Roman" w:hAnsi="Times New Roman" w:eastAsia="仿宋" w:cs="Times New Roman"/>
          <w:b w:val="0"/>
          <w:bCs w:val="0"/>
          <w:color w:val="000000"/>
          <w:sz w:val="28"/>
          <w:szCs w:val="28"/>
        </w:rPr>
        <w:t>通过调查发现，绝大多数研究生对导师的学术水平和指导状况、课程设置和学术活动、日常管理和生活服务的满意度较高</w:t>
      </w:r>
      <w:r>
        <w:rPr>
          <w:rFonts w:hint="eastAsia" w:ascii="Times New Roman" w:hAnsi="Times New Roman" w:eastAsia="仿宋" w:cs="Times New Roman"/>
          <w:b w:val="0"/>
          <w:bCs w:val="0"/>
          <w:color w:val="000000"/>
          <w:sz w:val="28"/>
          <w:szCs w:val="28"/>
          <w:lang w:eastAsia="zh-CN"/>
        </w:rPr>
        <w:t>，</w:t>
      </w:r>
      <w:r>
        <w:rPr>
          <w:rFonts w:hint="eastAsia" w:ascii="Times New Roman" w:hAnsi="Times New Roman" w:eastAsia="仿宋" w:cs="Times New Roman"/>
          <w:b w:val="0"/>
          <w:bCs w:val="0"/>
          <w:color w:val="000000"/>
          <w:sz w:val="28"/>
          <w:szCs w:val="28"/>
        </w:rPr>
        <w:t>超过9</w:t>
      </w:r>
      <w:r>
        <w:rPr>
          <w:rFonts w:hint="eastAsia" w:ascii="Times New Roman" w:hAnsi="Times New Roman" w:eastAsia="仿宋" w:cs="Times New Roman"/>
          <w:b w:val="0"/>
          <w:bCs w:val="0"/>
          <w:color w:val="000000"/>
          <w:sz w:val="28"/>
          <w:szCs w:val="28"/>
          <w:lang w:val="en-US" w:eastAsia="zh-CN"/>
        </w:rPr>
        <w:t>5</w:t>
      </w:r>
      <w:r>
        <w:rPr>
          <w:rFonts w:hint="eastAsia" w:ascii="Times New Roman" w:hAnsi="Times New Roman" w:eastAsia="仿宋" w:cs="Times New Roman"/>
          <w:b w:val="0"/>
          <w:bCs w:val="0"/>
          <w:color w:val="000000"/>
          <w:sz w:val="28"/>
          <w:szCs w:val="28"/>
        </w:rPr>
        <w:t>%。</w:t>
      </w:r>
    </w:p>
    <w:p w14:paraId="2352979E">
      <w:pPr>
        <w:pStyle w:val="2"/>
        <w:spacing w:before="0" w:after="0" w:line="520" w:lineRule="exact"/>
        <w:ind w:firstLine="560" w:firstLineChars="200"/>
        <w:rPr>
          <w:rFonts w:hint="eastAsia" w:ascii="Times New Roman" w:hAnsi="Times New Roman" w:eastAsia="楷体" w:cs="Times New Roman"/>
          <w:b w:val="0"/>
          <w:bCs w:val="0"/>
          <w:color w:val="000000"/>
          <w:kern w:val="2"/>
          <w:sz w:val="28"/>
          <w:szCs w:val="28"/>
          <w:lang w:val="en-US" w:eastAsia="zh-CN" w:bidi="ar-SA"/>
        </w:rPr>
      </w:pPr>
      <w:r>
        <w:rPr>
          <w:rFonts w:hint="eastAsia" w:ascii="Times New Roman" w:hAnsi="Times New Roman" w:eastAsia="楷体" w:cs="Times New Roman"/>
          <w:b w:val="0"/>
          <w:bCs w:val="0"/>
          <w:color w:val="000000"/>
          <w:kern w:val="2"/>
          <w:sz w:val="28"/>
          <w:szCs w:val="28"/>
          <w:lang w:val="en-US" w:eastAsia="zh-CN" w:bidi="ar-SA"/>
        </w:rPr>
        <w:t>（三）提升科学研究与社会服务水平</w:t>
      </w:r>
    </w:p>
    <w:p w14:paraId="14E7EF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562" w:firstLineChars="200"/>
        <w:jc w:val="both"/>
        <w:textAlignment w:val="auto"/>
        <w:rPr>
          <w:rFonts w:hint="eastAsia" w:ascii="Times New Roman" w:hAnsi="Times New Roman" w:eastAsia="仿宋" w:cs="Times New Roman"/>
          <w:b w:val="0"/>
          <w:bCs w:val="0"/>
          <w:color w:val="auto"/>
          <w:sz w:val="28"/>
          <w:szCs w:val="28"/>
          <w:lang w:val="en-US" w:eastAsia="zh-CN" w:bidi="zh-CN"/>
        </w:rPr>
      </w:pPr>
      <w:r>
        <w:rPr>
          <w:rFonts w:hint="eastAsia" w:ascii="Times New Roman" w:hAnsi="Times New Roman" w:eastAsia="仿宋" w:cs="Times New Roman"/>
          <w:b/>
          <w:bCs/>
          <w:color w:val="auto"/>
          <w:sz w:val="28"/>
          <w:szCs w:val="28"/>
          <w:lang w:val="en-US" w:eastAsia="zh-CN" w:bidi="zh-CN"/>
        </w:rPr>
        <w:t>1.</w:t>
      </w:r>
      <w:r>
        <w:rPr>
          <w:rFonts w:hint="eastAsia" w:ascii="Times New Roman" w:hAnsi="Times New Roman" w:eastAsia="仿宋" w:cs="Times New Roman"/>
          <w:b/>
          <w:bCs/>
          <w:color w:val="auto"/>
          <w:sz w:val="28"/>
          <w:szCs w:val="28"/>
          <w:lang w:val="en-US" w:bidi="zh-CN"/>
        </w:rPr>
        <w:t>高水平科研成果丰硕</w:t>
      </w:r>
      <w:r>
        <w:rPr>
          <w:rFonts w:hint="eastAsia" w:ascii="Times New Roman" w:hAnsi="Times New Roman" w:eastAsia="仿宋" w:cs="Times New Roman"/>
          <w:b w:val="0"/>
          <w:bCs w:val="0"/>
          <w:color w:val="auto"/>
          <w:sz w:val="28"/>
          <w:szCs w:val="28"/>
          <w:lang w:val="en-US" w:bidi="zh-CN"/>
        </w:rPr>
        <w:t>：</w:t>
      </w:r>
      <w:r>
        <w:rPr>
          <w:rFonts w:hint="eastAsia" w:ascii="Times New Roman" w:hAnsi="Times New Roman" w:eastAsia="仿宋" w:cs="Times New Roman"/>
          <w:b w:val="0"/>
          <w:bCs w:val="0"/>
          <w:color w:val="auto"/>
          <w:sz w:val="28"/>
          <w:szCs w:val="28"/>
          <w:lang w:val="en-US" w:eastAsia="zh-CN" w:bidi="zh-CN"/>
        </w:rPr>
        <w:t>我院教师发表A-级及以上论文25篇，其中A级论文9篇，A-级论文16篇，科研KPI论文指标完成情况位居全校前列；学院教师新增省部级项目7项，结项省部级项目4项，服务地方政府技术咨询项目6项，进账科研经费146.34万元，其中，何天祥教授团队成功立项2024年度湖南省文化和旅游厅资助项目——“文旅元宇宙平台的关键技术研发”，实现了学院科研团队在文旅科技融合领域探索和实践上的新突破。</w:t>
      </w:r>
    </w:p>
    <w:p w14:paraId="06FD33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562" w:firstLineChars="200"/>
        <w:jc w:val="both"/>
        <w:textAlignment w:val="auto"/>
        <w:rPr>
          <w:rFonts w:hint="eastAsia" w:ascii="Times New Roman" w:hAnsi="Times New Roman" w:eastAsia="仿宋" w:cs="Times New Roman"/>
          <w:b w:val="0"/>
          <w:bCs w:val="0"/>
          <w:color w:val="auto"/>
          <w:sz w:val="28"/>
          <w:szCs w:val="28"/>
          <w:lang w:val="en-US" w:bidi="zh-CN"/>
        </w:rPr>
      </w:pPr>
      <w:r>
        <w:rPr>
          <w:rFonts w:hint="eastAsia" w:ascii="Times New Roman" w:hAnsi="Times New Roman" w:eastAsia="仿宋" w:cs="Times New Roman"/>
          <w:b/>
          <w:bCs/>
          <w:color w:val="auto"/>
          <w:sz w:val="28"/>
          <w:szCs w:val="28"/>
          <w:lang w:val="en-US" w:bidi="zh-CN"/>
        </w:rPr>
        <w:t>2.社会服务精准发力</w:t>
      </w:r>
      <w:r>
        <w:rPr>
          <w:rFonts w:hint="eastAsia" w:ascii="Times New Roman" w:hAnsi="Times New Roman" w:eastAsia="仿宋" w:cs="Times New Roman"/>
          <w:b w:val="0"/>
          <w:bCs w:val="0"/>
          <w:color w:val="auto"/>
          <w:sz w:val="28"/>
          <w:szCs w:val="28"/>
          <w:lang w:val="en-US" w:bidi="zh-CN"/>
        </w:rPr>
        <w:t>：紧扣湖南省文旅融合、智慧旅游建设需求，</w:t>
      </w:r>
      <w:r>
        <w:rPr>
          <w:rFonts w:hint="eastAsia" w:ascii="Times New Roman" w:hAnsi="Times New Roman" w:eastAsia="仿宋" w:cs="Times New Roman"/>
          <w:b w:val="0"/>
          <w:bCs w:val="0"/>
          <w:color w:val="auto"/>
          <w:sz w:val="28"/>
          <w:szCs w:val="28"/>
          <w:lang w:val="en-US" w:eastAsia="zh-CN" w:bidi="zh-CN"/>
        </w:rPr>
        <w:t>新增国家发明专利1项，B2级及以上智库成果3项，其中“擦亮农耕文化名片，赋能文旅融合发展”研究报告获湖南省委常委、省社科联主席批示</w:t>
      </w:r>
      <w:r>
        <w:rPr>
          <w:rFonts w:hint="eastAsia" w:ascii="Times New Roman" w:hAnsi="Times New Roman" w:eastAsia="仿宋" w:cs="Times New Roman"/>
          <w:b w:val="0"/>
          <w:bCs w:val="0"/>
          <w:color w:val="auto"/>
          <w:sz w:val="28"/>
          <w:szCs w:val="28"/>
          <w:lang w:val="en-US" w:bidi="zh-CN"/>
        </w:rPr>
        <w:t>。</w:t>
      </w:r>
    </w:p>
    <w:p w14:paraId="50231F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eastAsia" w:ascii="Times New Roman" w:hAnsi="Times New Roman" w:eastAsia="仿宋" w:cs="Times New Roman"/>
          <w:b w:val="0"/>
          <w:bCs w:val="0"/>
          <w:color w:val="auto"/>
          <w:sz w:val="28"/>
          <w:szCs w:val="28"/>
          <w:lang w:val="en-US" w:bidi="zh-CN"/>
        </w:rPr>
      </w:pPr>
      <w:r>
        <w:rPr>
          <w:rFonts w:hint="eastAsia" w:ascii="Times New Roman" w:hAnsi="Times New Roman" w:eastAsia="仿宋" w:cs="Times New Roman"/>
          <w:b w:val="0"/>
          <w:bCs w:val="0"/>
          <w:color w:val="auto"/>
          <w:sz w:val="28"/>
          <w:szCs w:val="28"/>
          <w:lang w:val="en-US" w:bidi="zh-CN"/>
        </w:rPr>
        <w:t>本学位点教师和学生不仅能立足本职工作，也能积极承担和履行社会责任，服务国家和区域经济社会发展，为政府和企业解决实际问题，致力乡村振兴实践。学位点多位导师被聘为湖南省美丽乡村建设研究会特聘专家，服务湖南乡村建设。</w:t>
      </w:r>
    </w:p>
    <w:p w14:paraId="4EC684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562" w:firstLineChars="200"/>
        <w:jc w:val="both"/>
        <w:textAlignment w:val="auto"/>
        <w:rPr>
          <w:rFonts w:hint="eastAsia" w:ascii="Times New Roman" w:hAnsi="Times New Roman" w:eastAsia="仿宋" w:cs="Times New Roman"/>
          <w:b w:val="0"/>
          <w:bCs w:val="0"/>
          <w:color w:val="auto"/>
          <w:sz w:val="28"/>
          <w:szCs w:val="28"/>
          <w:lang w:val="en-US" w:eastAsia="zh-CN" w:bidi="zh-CN"/>
        </w:rPr>
      </w:pPr>
      <w:r>
        <w:rPr>
          <w:rFonts w:hint="eastAsia" w:ascii="Times New Roman" w:hAnsi="Times New Roman" w:eastAsia="仿宋" w:cs="Times New Roman"/>
          <w:b/>
          <w:bCs/>
          <w:color w:val="auto"/>
          <w:sz w:val="28"/>
          <w:szCs w:val="28"/>
          <w:lang w:val="en-US" w:bidi="zh-CN"/>
        </w:rPr>
        <w:t>3.深化校地校企合作</w:t>
      </w:r>
      <w:r>
        <w:rPr>
          <w:rFonts w:hint="eastAsia" w:ascii="Times New Roman" w:hAnsi="Times New Roman" w:eastAsia="仿宋" w:cs="Times New Roman"/>
          <w:b w:val="0"/>
          <w:bCs w:val="0"/>
          <w:color w:val="auto"/>
          <w:sz w:val="28"/>
          <w:szCs w:val="28"/>
          <w:lang w:val="en-US" w:bidi="zh-CN"/>
        </w:rPr>
        <w:t>：</w:t>
      </w:r>
      <w:r>
        <w:rPr>
          <w:rFonts w:hint="eastAsia" w:ascii="Times New Roman" w:hAnsi="Times New Roman" w:eastAsia="仿宋" w:cs="Times New Roman"/>
          <w:b w:val="0"/>
          <w:bCs w:val="0"/>
          <w:color w:val="auto"/>
          <w:sz w:val="28"/>
          <w:szCs w:val="28"/>
          <w:lang w:val="en-US" w:eastAsia="zh-CN" w:bidi="zh-CN"/>
        </w:rPr>
        <w:t>何天祥教授带领团队成功申报湖南省宜居宜业和美乡村社科普及基地，该基地积极响应</w:t>
      </w:r>
      <w:r>
        <w:rPr>
          <w:rFonts w:hint="eastAsia" w:ascii="Times New Roman" w:hAnsi="Times New Roman" w:cs="Times New Roman"/>
          <w:b w:val="0"/>
          <w:bCs w:val="0"/>
          <w:color w:val="auto"/>
          <w:sz w:val="28"/>
          <w:szCs w:val="28"/>
          <w:lang w:val="en-US" w:eastAsia="zh-CN" w:bidi="zh-CN"/>
        </w:rPr>
        <w:t>党的</w:t>
      </w:r>
      <w:r>
        <w:rPr>
          <w:rFonts w:hint="eastAsia" w:ascii="Times New Roman" w:hAnsi="Times New Roman" w:eastAsia="仿宋" w:cs="Times New Roman"/>
          <w:b w:val="0"/>
          <w:bCs w:val="0"/>
          <w:color w:val="auto"/>
          <w:sz w:val="28"/>
          <w:szCs w:val="28"/>
          <w:lang w:val="en-US" w:eastAsia="zh-CN" w:bidi="zh-CN"/>
        </w:rPr>
        <w:t>二十大报告“建设宜居宜业和美乡村”的战略部署，为学生提供系列社科普及活动平台，学生围绕新型农村集体经济、乡村文旅经济、乡村产业规划、乡村治理等议题开展实地调研，为当地宜居宜业和美乡村建设提供具体指导和专业服务。与湖南省国瓴私募基金管理有限公司等企业开展文旅项目研究、智库专家储备、人才培养等合作。</w:t>
      </w:r>
    </w:p>
    <w:p w14:paraId="3B5A8B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562" w:firstLineChars="200"/>
        <w:jc w:val="both"/>
        <w:textAlignment w:val="auto"/>
        <w:rPr>
          <w:rFonts w:hint="eastAsia" w:ascii="Times New Roman" w:hAnsi="Times New Roman" w:eastAsia="仿宋" w:cs="Times New Roman"/>
          <w:b w:val="0"/>
          <w:bCs w:val="0"/>
          <w:color w:val="auto"/>
          <w:sz w:val="28"/>
          <w:szCs w:val="28"/>
          <w:lang w:val="en-US" w:eastAsia="zh-CN" w:bidi="zh-CN"/>
        </w:rPr>
      </w:pPr>
      <w:r>
        <w:rPr>
          <w:rFonts w:hint="eastAsia" w:ascii="Times New Roman" w:hAnsi="Times New Roman" w:eastAsia="仿宋" w:cs="Times New Roman"/>
          <w:b/>
          <w:bCs/>
          <w:color w:val="auto"/>
          <w:sz w:val="28"/>
          <w:szCs w:val="28"/>
          <w:lang w:val="en-US" w:bidi="zh-CN"/>
        </w:rPr>
        <w:t>4.学术交流氛围浓厚</w:t>
      </w:r>
      <w:r>
        <w:rPr>
          <w:rFonts w:hint="eastAsia" w:ascii="Times New Roman" w:hAnsi="Times New Roman" w:eastAsia="仿宋" w:cs="Times New Roman"/>
          <w:b w:val="0"/>
          <w:bCs w:val="0"/>
          <w:color w:val="auto"/>
          <w:sz w:val="28"/>
          <w:szCs w:val="28"/>
          <w:lang w:val="en-US" w:bidi="zh-CN"/>
        </w:rPr>
        <w:t>：</w:t>
      </w:r>
      <w:r>
        <w:rPr>
          <w:rFonts w:hint="eastAsia" w:ascii="Times New Roman" w:hAnsi="Times New Roman" w:eastAsia="仿宋" w:cs="Times New Roman"/>
          <w:b w:val="0"/>
          <w:bCs w:val="0"/>
          <w:color w:val="auto"/>
          <w:sz w:val="28"/>
          <w:szCs w:val="28"/>
          <w:lang w:val="en-US" w:eastAsia="zh-CN" w:bidi="zh-CN"/>
        </w:rPr>
        <w:t>学院举办多场大型学术交流活动，包括“文化和科技融合发展”主题教育季活动暨“麓山大讲堂之教育论坛”第20讲、湖南旅游标准化技术委员2024年度工作推进会议、“麓山大讲堂之创新论坛”等，邀请长江学者刘炳胜、湖南省文化和旅游厅肖自裕二级巡视员、教育部高校旅游管理类专业教指委副主任、教育部旅游管理专业国家虚拟教研室主任马勇教授、湖南省社科联党组书记、副主席（主持日常工作）胡代松、中南大学商学院粟路军教授、云南大学马桑教授、中国人民大学杨宏山教授、中国矿业大学王锋教授、四川大学王敬尧教授、《管理学刊》执行主编张跃胜等国内知名专家学者近十余次到校进行学术交流指导和开展学术讲座。让学生了解各领域的研究动态，开拓眼界。</w:t>
      </w:r>
    </w:p>
    <w:p w14:paraId="25809C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eastAsia" w:ascii="Times New Roman" w:hAnsi="Times New Roman" w:eastAsia="仿宋" w:cs="Times New Roman"/>
          <w:b w:val="0"/>
          <w:bCs w:val="0"/>
          <w:color w:val="auto"/>
          <w:sz w:val="28"/>
          <w:szCs w:val="28"/>
          <w:lang w:val="en-US" w:eastAsia="zh-CN" w:bidi="zh-CN"/>
        </w:rPr>
      </w:pPr>
      <w:r>
        <w:rPr>
          <w:rFonts w:hint="eastAsia" w:ascii="Times New Roman" w:hAnsi="Times New Roman" w:eastAsia="仿宋" w:cs="Times New Roman"/>
          <w:b w:val="0"/>
          <w:bCs w:val="0"/>
          <w:color w:val="auto"/>
          <w:sz w:val="28"/>
          <w:szCs w:val="28"/>
          <w:lang w:val="en-US" w:eastAsia="zh-CN" w:bidi="zh-CN"/>
        </w:rPr>
        <w:t>何天祥院长带队参加第四届全国财经类院校旅游教育联盟论坛，主持“数智赋能文旅类专业课程建设”分论坛圆桌会议，结合我校在文旅类专业课程建设方面的发展，进行了主题发言，并分享了办学成果与实践经验，大大提高了我校在业界的影响力。组织学生参加全省旅游类专业教师及旅游行业从业人员“走进旅游新业态”活动（第二期）、“乡村振兴·城乡融合·文旅高质量发展”专题研讨会暨《旅游科学》2024年旅游管理研究前沿论坛、中国地理学会旅游地理专业委员会年会、“赋能旅游资源创新开发 完善中国现代旅游业体系”专题论坛、湖南省第十七届研究生创新论坛“文旅深度融合与区域高质量发展”吉首大学分论坛等10多场学术活动，为MTA研究生提供一个高起点、宽范围、多领域的创新思维交流平台。</w:t>
      </w:r>
    </w:p>
    <w:p w14:paraId="6D35B4E5">
      <w:pPr>
        <w:keepNext/>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outlineLvl w:val="0"/>
        <w:rPr>
          <w:rFonts w:hint="eastAsia" w:ascii="Times New Roman" w:hAnsi="Times New Roman" w:eastAsia="黑体" w:cs="Times New Roman"/>
          <w:b w:val="0"/>
          <w:bCs w:val="0"/>
          <w:color w:val="000000"/>
          <w:kern w:val="2"/>
          <w:sz w:val="28"/>
          <w:szCs w:val="28"/>
          <w:lang w:val="en-US" w:eastAsia="zh-CN" w:bidi="ar-SA"/>
        </w:rPr>
      </w:pPr>
      <w:r>
        <w:rPr>
          <w:rFonts w:hint="eastAsia" w:ascii="Times New Roman" w:hAnsi="Times New Roman" w:eastAsia="黑体" w:cs="Times New Roman"/>
          <w:b w:val="0"/>
          <w:bCs w:val="0"/>
          <w:color w:val="000000"/>
          <w:kern w:val="2"/>
          <w:sz w:val="28"/>
          <w:szCs w:val="28"/>
          <w:lang w:val="en-US" w:eastAsia="zh-CN" w:bidi="ar-SA"/>
        </w:rPr>
        <w:t>五、教育质量评估与分析</w:t>
      </w:r>
    </w:p>
    <w:p w14:paraId="0C70DA63">
      <w:pPr>
        <w:pStyle w:val="2"/>
        <w:spacing w:before="0" w:after="0" w:line="520" w:lineRule="exact"/>
        <w:ind w:firstLine="560" w:firstLineChars="200"/>
        <w:rPr>
          <w:rFonts w:hint="eastAsia" w:ascii="Times New Roman" w:hAnsi="Times New Roman" w:eastAsia="楷体" w:cs="Times New Roman"/>
          <w:b w:val="0"/>
          <w:bCs w:val="0"/>
          <w:color w:val="000000"/>
          <w:kern w:val="2"/>
          <w:sz w:val="28"/>
          <w:szCs w:val="28"/>
          <w:lang w:val="en-US" w:eastAsia="zh-CN" w:bidi="ar-SA"/>
        </w:rPr>
      </w:pPr>
      <w:r>
        <w:rPr>
          <w:rFonts w:hint="eastAsia" w:ascii="Times New Roman" w:hAnsi="Times New Roman" w:eastAsia="楷体" w:cs="Times New Roman"/>
          <w:b w:val="0"/>
          <w:bCs w:val="0"/>
          <w:color w:val="000000"/>
          <w:kern w:val="2"/>
          <w:sz w:val="28"/>
          <w:szCs w:val="28"/>
          <w:lang w:val="en-US" w:eastAsia="zh-CN" w:bidi="ar-SA"/>
        </w:rPr>
        <w:t>（一）学位授权点自我评估进展及问题分析</w:t>
      </w:r>
    </w:p>
    <w:p w14:paraId="4A57D5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eastAsia" w:ascii="Times New Roman" w:hAnsi="Times New Roman" w:eastAsia="仿宋" w:cs="Times New Roman"/>
          <w:b w:val="0"/>
          <w:bCs w:val="0"/>
          <w:color w:val="auto"/>
          <w:sz w:val="28"/>
          <w:szCs w:val="28"/>
          <w:lang w:val="en-US" w:bidi="zh-CN"/>
        </w:rPr>
      </w:pPr>
      <w:r>
        <w:rPr>
          <w:rFonts w:hint="eastAsia" w:ascii="Times New Roman" w:hAnsi="Times New Roman" w:eastAsia="仿宋" w:cs="Times New Roman"/>
          <w:b w:val="0"/>
          <w:bCs w:val="0"/>
          <w:color w:val="auto"/>
          <w:sz w:val="28"/>
          <w:szCs w:val="28"/>
          <w:lang w:val="en-US" w:bidi="zh-CN"/>
        </w:rPr>
        <w:t>本年度是旅游管理</w:t>
      </w:r>
      <w:r>
        <w:rPr>
          <w:rFonts w:hint="eastAsia" w:ascii="Times New Roman" w:hAnsi="Times New Roman" w:eastAsia="仿宋" w:cs="Times New Roman"/>
          <w:b w:val="0"/>
          <w:bCs w:val="0"/>
          <w:color w:val="auto"/>
          <w:sz w:val="28"/>
          <w:szCs w:val="28"/>
          <w:lang w:val="en-US" w:eastAsia="zh-CN" w:bidi="zh-CN"/>
        </w:rPr>
        <w:t>MTA</w:t>
      </w:r>
      <w:r>
        <w:rPr>
          <w:rFonts w:hint="eastAsia" w:ascii="Times New Roman" w:hAnsi="Times New Roman" w:eastAsia="仿宋" w:cs="Times New Roman"/>
          <w:b w:val="0"/>
          <w:bCs w:val="0"/>
          <w:color w:val="auto"/>
          <w:sz w:val="28"/>
          <w:szCs w:val="28"/>
          <w:lang w:val="en-US" w:bidi="zh-CN"/>
        </w:rPr>
        <w:t>专业学位点的</w:t>
      </w:r>
      <w:r>
        <w:rPr>
          <w:rFonts w:hint="eastAsia" w:ascii="Times New Roman" w:hAnsi="Times New Roman" w:eastAsia="仿宋" w:cs="Times New Roman"/>
          <w:b w:val="0"/>
          <w:bCs w:val="0"/>
          <w:color w:val="auto"/>
          <w:sz w:val="28"/>
          <w:szCs w:val="28"/>
          <w:lang w:val="en-US" w:eastAsia="zh-CN" w:bidi="zh-CN"/>
        </w:rPr>
        <w:t>重要建设</w:t>
      </w:r>
      <w:r>
        <w:rPr>
          <w:rFonts w:hint="eastAsia" w:ascii="Times New Roman" w:hAnsi="Times New Roman" w:eastAsia="仿宋" w:cs="Times New Roman"/>
          <w:b w:val="0"/>
          <w:bCs w:val="0"/>
          <w:color w:val="auto"/>
          <w:sz w:val="28"/>
          <w:szCs w:val="28"/>
          <w:lang w:val="en-US" w:bidi="zh-CN"/>
        </w:rPr>
        <w:t>年，MTA项目作为新生项目，校内无经验可循，很多工作都是在零基础之上进行，在人员少、任务重、经验缺的情况下，和其他做</w:t>
      </w:r>
      <w:r>
        <w:rPr>
          <w:rFonts w:hint="eastAsia" w:ascii="Times New Roman" w:hAnsi="Times New Roman" w:cs="Times New Roman"/>
          <w:b w:val="0"/>
          <w:bCs w:val="0"/>
          <w:color w:val="auto"/>
          <w:sz w:val="28"/>
          <w:szCs w:val="28"/>
          <w:lang w:val="en-US" w:bidi="zh-CN"/>
        </w:rPr>
        <w:t>得</w:t>
      </w:r>
      <w:r>
        <w:rPr>
          <w:rFonts w:hint="eastAsia" w:ascii="Times New Roman" w:hAnsi="Times New Roman" w:eastAsia="仿宋" w:cs="Times New Roman"/>
          <w:b w:val="0"/>
          <w:bCs w:val="0"/>
          <w:color w:val="auto"/>
          <w:sz w:val="28"/>
          <w:szCs w:val="28"/>
          <w:lang w:val="en-US" w:bidi="zh-CN"/>
        </w:rPr>
        <w:t>较好的同批次MTA院校尤其是有着较长办学经历的MTA院校相比，各方面的差距还比较明显，还存在</w:t>
      </w:r>
      <w:r>
        <w:rPr>
          <w:rFonts w:hint="eastAsia" w:ascii="Times New Roman" w:hAnsi="Times New Roman" w:eastAsia="仿宋" w:cs="Times New Roman"/>
          <w:b w:val="0"/>
          <w:bCs w:val="0"/>
          <w:color w:val="auto"/>
          <w:sz w:val="28"/>
          <w:szCs w:val="28"/>
          <w:lang w:val="en-US" w:eastAsia="zh-CN" w:bidi="zh-CN"/>
        </w:rPr>
        <w:t>一些</w:t>
      </w:r>
      <w:r>
        <w:rPr>
          <w:rFonts w:hint="eastAsia" w:ascii="Times New Roman" w:hAnsi="Times New Roman" w:eastAsia="仿宋" w:cs="Times New Roman"/>
          <w:b w:val="0"/>
          <w:bCs w:val="0"/>
          <w:color w:val="auto"/>
          <w:sz w:val="28"/>
          <w:szCs w:val="28"/>
          <w:lang w:val="en-US" w:bidi="zh-CN"/>
        </w:rPr>
        <w:t>不足：</w:t>
      </w:r>
    </w:p>
    <w:p w14:paraId="75DA61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562" w:firstLineChars="200"/>
        <w:jc w:val="both"/>
        <w:textAlignment w:val="auto"/>
        <w:outlineLvl w:val="9"/>
        <w:rPr>
          <w:rFonts w:hint="eastAsia" w:ascii="Times New Roman" w:hAnsi="Times New Roman" w:eastAsia="仿宋" w:cs="Times New Roman"/>
          <w:b/>
          <w:bCs/>
          <w:color w:val="auto"/>
          <w:sz w:val="28"/>
          <w:szCs w:val="28"/>
          <w:lang w:val="en-US" w:eastAsia="zh-CN" w:bidi="zh-CN"/>
        </w:rPr>
      </w:pPr>
      <w:r>
        <w:rPr>
          <w:rFonts w:hint="eastAsia" w:ascii="Times New Roman" w:hAnsi="Times New Roman" w:eastAsia="仿宋" w:cs="Times New Roman"/>
          <w:b/>
          <w:bCs/>
          <w:color w:val="auto"/>
          <w:sz w:val="28"/>
          <w:szCs w:val="28"/>
          <w:lang w:val="en-US" w:eastAsia="zh-CN" w:bidi="zh-CN"/>
        </w:rPr>
        <w:t>1.需加强招生培养规模与行业发展需求的匹配</w:t>
      </w:r>
    </w:p>
    <w:p w14:paraId="29EA10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eastAsia" w:ascii="Times New Roman" w:hAnsi="Times New Roman" w:eastAsia="仿宋" w:cs="Times New Roman"/>
          <w:b w:val="0"/>
          <w:bCs w:val="0"/>
          <w:color w:val="auto"/>
          <w:sz w:val="28"/>
          <w:szCs w:val="28"/>
          <w:lang w:val="en-US" w:bidi="zh-CN"/>
        </w:rPr>
      </w:pPr>
      <w:r>
        <w:rPr>
          <w:rFonts w:hint="eastAsia" w:ascii="Times New Roman" w:hAnsi="Times New Roman" w:eastAsia="仿宋" w:cs="Times New Roman"/>
          <w:b w:val="0"/>
          <w:bCs w:val="0"/>
          <w:color w:val="auto"/>
          <w:sz w:val="28"/>
          <w:szCs w:val="28"/>
          <w:lang w:val="en-US" w:bidi="zh-CN"/>
        </w:rPr>
        <w:t>伴随文旅部门及旅游</w:t>
      </w:r>
      <w:r>
        <w:rPr>
          <w:rFonts w:hint="eastAsia" w:ascii="Times New Roman" w:hAnsi="Times New Roman" w:eastAsia="仿宋" w:cs="Times New Roman"/>
          <w:b w:val="0"/>
          <w:bCs w:val="0"/>
          <w:color w:val="auto"/>
          <w:sz w:val="28"/>
          <w:szCs w:val="28"/>
          <w:lang w:val="en-US" w:eastAsia="zh-CN" w:bidi="zh-CN"/>
        </w:rPr>
        <w:t>开放点</w:t>
      </w:r>
      <w:r>
        <w:rPr>
          <w:rFonts w:hint="eastAsia" w:ascii="Times New Roman" w:hAnsi="Times New Roman" w:eastAsia="仿宋" w:cs="Times New Roman"/>
          <w:b w:val="0"/>
          <w:bCs w:val="0"/>
          <w:color w:val="auto"/>
          <w:sz w:val="28"/>
          <w:szCs w:val="28"/>
          <w:lang w:val="en-US" w:bidi="zh-CN"/>
        </w:rPr>
        <w:t>对旅游管理高级人才需求的日益增长，我校旅游管理学科拥有较好的科研平台与教研人员，研究实力较为雄厚，但现有招生培养规模与行业发展需求存在</w:t>
      </w:r>
      <w:r>
        <w:rPr>
          <w:rFonts w:hint="eastAsia" w:ascii="Times New Roman" w:hAnsi="Times New Roman" w:eastAsia="仿宋" w:cs="Times New Roman"/>
          <w:b w:val="0"/>
          <w:bCs w:val="0"/>
          <w:color w:val="auto"/>
          <w:sz w:val="28"/>
          <w:szCs w:val="28"/>
          <w:lang w:val="en-US" w:eastAsia="zh-CN" w:bidi="zh-CN"/>
        </w:rPr>
        <w:t>较大</w:t>
      </w:r>
      <w:r>
        <w:rPr>
          <w:rFonts w:hint="eastAsia" w:ascii="Times New Roman" w:hAnsi="Times New Roman" w:eastAsia="仿宋" w:cs="Times New Roman"/>
          <w:b w:val="0"/>
          <w:bCs w:val="0"/>
          <w:color w:val="auto"/>
          <w:sz w:val="28"/>
          <w:szCs w:val="28"/>
          <w:lang w:val="en-US" w:bidi="zh-CN"/>
        </w:rPr>
        <w:t>差距。</w:t>
      </w:r>
    </w:p>
    <w:p w14:paraId="72B7DA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562" w:firstLineChars="200"/>
        <w:jc w:val="both"/>
        <w:textAlignment w:val="auto"/>
        <w:outlineLvl w:val="9"/>
        <w:rPr>
          <w:rFonts w:hint="eastAsia" w:ascii="Times New Roman" w:hAnsi="Times New Roman" w:eastAsia="仿宋" w:cs="Times New Roman"/>
          <w:b/>
          <w:bCs/>
          <w:color w:val="auto"/>
          <w:sz w:val="28"/>
          <w:szCs w:val="28"/>
          <w:lang w:val="en-US" w:eastAsia="zh-CN" w:bidi="zh-CN"/>
        </w:rPr>
      </w:pPr>
      <w:r>
        <w:rPr>
          <w:rFonts w:hint="eastAsia" w:ascii="Times New Roman" w:hAnsi="Times New Roman" w:eastAsia="仿宋" w:cs="Times New Roman"/>
          <w:b/>
          <w:bCs/>
          <w:color w:val="auto"/>
          <w:sz w:val="28"/>
          <w:szCs w:val="28"/>
          <w:lang w:val="en-US" w:eastAsia="zh-CN" w:bidi="zh-CN"/>
        </w:rPr>
        <w:t>2.学科平台与建设经费相对不足</w:t>
      </w:r>
    </w:p>
    <w:p w14:paraId="3117EC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eastAsia" w:ascii="Times New Roman" w:hAnsi="Times New Roman" w:eastAsia="仿宋" w:cs="Times New Roman"/>
          <w:b w:val="0"/>
          <w:bCs w:val="0"/>
          <w:color w:val="auto"/>
          <w:sz w:val="28"/>
          <w:szCs w:val="28"/>
          <w:lang w:val="en-US" w:bidi="zh-CN"/>
        </w:rPr>
      </w:pPr>
      <w:r>
        <w:rPr>
          <w:rFonts w:hint="eastAsia" w:ascii="Times New Roman" w:hAnsi="Times New Roman" w:eastAsia="仿宋" w:cs="Times New Roman"/>
          <w:b w:val="0"/>
          <w:bCs w:val="0"/>
          <w:color w:val="auto"/>
          <w:sz w:val="28"/>
          <w:szCs w:val="28"/>
          <w:lang w:val="en-US" w:bidi="zh-CN"/>
        </w:rPr>
        <w:t>由于202</w:t>
      </w:r>
      <w:r>
        <w:rPr>
          <w:rFonts w:hint="eastAsia" w:ascii="Times New Roman" w:hAnsi="Times New Roman" w:eastAsia="仿宋" w:cs="Times New Roman"/>
          <w:b w:val="0"/>
          <w:bCs w:val="0"/>
          <w:color w:val="auto"/>
          <w:sz w:val="28"/>
          <w:szCs w:val="28"/>
          <w:lang w:val="en-US" w:eastAsia="zh-CN" w:bidi="zh-CN"/>
        </w:rPr>
        <w:t>4</w:t>
      </w:r>
      <w:r>
        <w:rPr>
          <w:rFonts w:hint="eastAsia" w:ascii="Times New Roman" w:hAnsi="Times New Roman" w:eastAsia="仿宋" w:cs="Times New Roman"/>
          <w:b w:val="0"/>
          <w:bCs w:val="0"/>
          <w:color w:val="auto"/>
          <w:sz w:val="28"/>
          <w:szCs w:val="28"/>
          <w:lang w:val="en-US" w:bidi="zh-CN"/>
        </w:rPr>
        <w:t>年是第</w:t>
      </w:r>
      <w:r>
        <w:rPr>
          <w:rFonts w:hint="eastAsia" w:ascii="Times New Roman" w:hAnsi="Times New Roman" w:eastAsia="仿宋" w:cs="Times New Roman"/>
          <w:b w:val="0"/>
          <w:bCs w:val="0"/>
          <w:color w:val="auto"/>
          <w:sz w:val="28"/>
          <w:szCs w:val="28"/>
          <w:lang w:val="en-US" w:eastAsia="zh-CN" w:bidi="zh-CN"/>
        </w:rPr>
        <w:t>二</w:t>
      </w:r>
      <w:r>
        <w:rPr>
          <w:rFonts w:hint="eastAsia" w:ascii="Times New Roman" w:hAnsi="Times New Roman" w:eastAsia="仿宋" w:cs="Times New Roman"/>
          <w:b w:val="0"/>
          <w:bCs w:val="0"/>
          <w:color w:val="auto"/>
          <w:sz w:val="28"/>
          <w:szCs w:val="28"/>
          <w:lang w:val="en-US" w:bidi="zh-CN"/>
        </w:rPr>
        <w:t>年招生，学科建设尚在起步阶段，本年度学科（专业）平台建设专项建设经费使用与建设要求不相适应。</w:t>
      </w:r>
    </w:p>
    <w:p w14:paraId="111B68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562" w:firstLineChars="200"/>
        <w:jc w:val="both"/>
        <w:textAlignment w:val="auto"/>
        <w:outlineLvl w:val="9"/>
        <w:rPr>
          <w:rFonts w:hint="eastAsia" w:ascii="Times New Roman" w:hAnsi="Times New Roman" w:eastAsia="仿宋" w:cs="Times New Roman"/>
          <w:b/>
          <w:bCs/>
          <w:color w:val="auto"/>
          <w:sz w:val="28"/>
          <w:szCs w:val="28"/>
          <w:lang w:val="en-US" w:bidi="zh-CN"/>
        </w:rPr>
      </w:pPr>
      <w:r>
        <w:rPr>
          <w:rFonts w:hint="eastAsia" w:ascii="Times New Roman" w:hAnsi="Times New Roman" w:eastAsia="仿宋" w:cs="Times New Roman"/>
          <w:b/>
          <w:bCs/>
          <w:color w:val="auto"/>
          <w:sz w:val="28"/>
          <w:szCs w:val="28"/>
          <w:lang w:val="en-US" w:eastAsia="zh-CN" w:bidi="zh-CN"/>
        </w:rPr>
        <w:t>3</w:t>
      </w:r>
      <w:r>
        <w:rPr>
          <w:rFonts w:hint="eastAsia" w:ascii="Times New Roman" w:hAnsi="Times New Roman" w:eastAsia="仿宋" w:cs="Times New Roman"/>
          <w:b/>
          <w:bCs/>
          <w:color w:val="auto"/>
          <w:sz w:val="28"/>
          <w:szCs w:val="28"/>
          <w:lang w:val="en-US" w:bidi="zh-CN"/>
        </w:rPr>
        <w:t>.需要考虑如何强化教学资源开发及育人平台建设</w:t>
      </w:r>
    </w:p>
    <w:p w14:paraId="398E0A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eastAsia" w:ascii="Times New Roman" w:hAnsi="Times New Roman" w:eastAsia="仿宋" w:cs="Times New Roman"/>
          <w:b w:val="0"/>
          <w:bCs w:val="0"/>
          <w:color w:val="auto"/>
          <w:sz w:val="28"/>
          <w:szCs w:val="28"/>
          <w:lang w:val="en-US" w:bidi="zh-CN"/>
        </w:rPr>
      </w:pPr>
      <w:r>
        <w:rPr>
          <w:rFonts w:hint="eastAsia" w:ascii="Times New Roman" w:hAnsi="Times New Roman" w:eastAsia="仿宋" w:cs="Times New Roman"/>
          <w:b w:val="0"/>
          <w:bCs w:val="0"/>
          <w:color w:val="auto"/>
          <w:sz w:val="28"/>
          <w:szCs w:val="28"/>
          <w:lang w:val="en-US" w:bidi="zh-CN"/>
        </w:rPr>
        <w:t>如何加强和拓展院内外、校内外以及政府、企事业单位、社会组织等方面的合作等问题，进一步拓展合作和服务的深度与广度，发挥专业研究优势，以更好地服务地方</w:t>
      </w:r>
      <w:r>
        <w:rPr>
          <w:rFonts w:hint="eastAsia" w:ascii="Times New Roman" w:hAnsi="Times New Roman" w:eastAsia="仿宋" w:cs="Times New Roman"/>
          <w:b w:val="0"/>
          <w:bCs w:val="0"/>
          <w:color w:val="auto"/>
          <w:sz w:val="28"/>
          <w:szCs w:val="28"/>
          <w:lang w:val="en-US" w:eastAsia="zh-CN" w:bidi="zh-CN"/>
        </w:rPr>
        <w:t>旅游行业</w:t>
      </w:r>
      <w:r>
        <w:rPr>
          <w:rFonts w:hint="eastAsia" w:ascii="Times New Roman" w:hAnsi="Times New Roman" w:eastAsia="仿宋" w:cs="Times New Roman"/>
          <w:b w:val="0"/>
          <w:bCs w:val="0"/>
          <w:color w:val="auto"/>
          <w:sz w:val="28"/>
          <w:szCs w:val="28"/>
          <w:lang w:val="en-US" w:bidi="zh-CN"/>
        </w:rPr>
        <w:t>高质量发展。</w:t>
      </w:r>
    </w:p>
    <w:p w14:paraId="530C6946">
      <w:pPr>
        <w:pStyle w:val="2"/>
        <w:spacing w:before="0" w:after="0" w:line="520" w:lineRule="exact"/>
        <w:ind w:firstLine="560" w:firstLineChars="200"/>
        <w:rPr>
          <w:rFonts w:hint="eastAsia" w:ascii="Times New Roman" w:hAnsi="Times New Roman" w:eastAsia="楷体" w:cs="Times New Roman"/>
          <w:b w:val="0"/>
          <w:bCs w:val="0"/>
          <w:color w:val="000000"/>
          <w:kern w:val="2"/>
          <w:sz w:val="28"/>
          <w:szCs w:val="28"/>
          <w:lang w:val="en-US" w:eastAsia="zh-CN" w:bidi="ar-SA"/>
        </w:rPr>
      </w:pPr>
      <w:r>
        <w:rPr>
          <w:rFonts w:hint="eastAsia" w:ascii="Times New Roman" w:hAnsi="Times New Roman" w:eastAsia="楷体" w:cs="Times New Roman"/>
          <w:b w:val="0"/>
          <w:bCs w:val="0"/>
          <w:color w:val="000000"/>
          <w:kern w:val="2"/>
          <w:sz w:val="28"/>
          <w:szCs w:val="28"/>
          <w:lang w:val="en-US" w:eastAsia="zh-CN" w:bidi="ar-SA"/>
        </w:rPr>
        <w:t>（二）学位论文抽检情况及问题分析</w:t>
      </w:r>
    </w:p>
    <w:p w14:paraId="153567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eastAsia" w:ascii="Times New Roman" w:hAnsi="Times New Roman" w:eastAsia="仿宋" w:cs="Times New Roman"/>
          <w:b w:val="0"/>
          <w:bCs w:val="0"/>
          <w:color w:val="auto"/>
          <w:sz w:val="28"/>
          <w:szCs w:val="28"/>
          <w:lang w:val="en-US" w:bidi="zh-CN"/>
        </w:rPr>
      </w:pPr>
      <w:r>
        <w:rPr>
          <w:rFonts w:hint="eastAsia" w:ascii="Times New Roman" w:hAnsi="Times New Roman" w:eastAsia="仿宋" w:cs="Times New Roman"/>
          <w:b w:val="0"/>
          <w:bCs w:val="0"/>
          <w:color w:val="auto"/>
          <w:sz w:val="28"/>
          <w:szCs w:val="28"/>
          <w:lang w:val="en-US" w:bidi="zh-CN"/>
        </w:rPr>
        <w:t>暂无。</w:t>
      </w:r>
    </w:p>
    <w:p w14:paraId="4FAA963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outlineLvl w:val="0"/>
        <w:rPr>
          <w:rFonts w:hint="eastAsia" w:ascii="Times New Roman" w:hAnsi="Times New Roman" w:eastAsia="黑体" w:cs="Times New Roman"/>
          <w:b w:val="0"/>
          <w:bCs w:val="0"/>
          <w:color w:val="000000"/>
          <w:kern w:val="2"/>
          <w:sz w:val="28"/>
          <w:szCs w:val="28"/>
          <w:lang w:val="en-US" w:eastAsia="zh-CN" w:bidi="ar-SA"/>
        </w:rPr>
      </w:pPr>
      <w:r>
        <w:rPr>
          <w:rFonts w:hint="eastAsia" w:ascii="Times New Roman" w:hAnsi="Times New Roman" w:eastAsia="黑体" w:cs="Times New Roman"/>
          <w:b w:val="0"/>
          <w:bCs w:val="0"/>
          <w:color w:val="000000"/>
          <w:kern w:val="2"/>
          <w:sz w:val="28"/>
          <w:szCs w:val="28"/>
          <w:lang w:val="en-US" w:eastAsia="zh-CN" w:bidi="ar-SA"/>
        </w:rPr>
        <w:t>六、改进措施</w:t>
      </w:r>
    </w:p>
    <w:p w14:paraId="15AB2379">
      <w:pPr>
        <w:pStyle w:val="2"/>
        <w:spacing w:before="0" w:after="0" w:line="520" w:lineRule="exact"/>
        <w:ind w:firstLine="560" w:firstLineChars="200"/>
        <w:rPr>
          <w:rFonts w:hint="eastAsia" w:ascii="Times New Roman" w:hAnsi="Times New Roman" w:eastAsia="楷体" w:cs="Times New Roman"/>
          <w:b w:val="0"/>
          <w:bCs w:val="0"/>
          <w:color w:val="000000"/>
          <w:kern w:val="2"/>
          <w:sz w:val="28"/>
          <w:szCs w:val="28"/>
          <w:lang w:val="en-US" w:eastAsia="zh-CN" w:bidi="ar-SA"/>
        </w:rPr>
      </w:pPr>
      <w:r>
        <w:rPr>
          <w:rFonts w:hint="eastAsia" w:ascii="Times New Roman" w:hAnsi="Times New Roman" w:eastAsia="楷体" w:cs="Times New Roman"/>
          <w:b w:val="0"/>
          <w:bCs w:val="0"/>
          <w:color w:val="000000"/>
          <w:kern w:val="2"/>
          <w:sz w:val="28"/>
          <w:szCs w:val="28"/>
          <w:lang w:val="en-US" w:eastAsia="zh-CN" w:bidi="ar-SA"/>
        </w:rPr>
        <w:t>（一）加强党建示范引领，提升统筹协调能力</w:t>
      </w:r>
    </w:p>
    <w:p w14:paraId="29A146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eastAsia" w:ascii="Times New Roman" w:hAnsi="Times New Roman" w:eastAsia="仿宋" w:cs="Times New Roman"/>
          <w:b w:val="0"/>
          <w:bCs w:val="0"/>
          <w:color w:val="auto"/>
          <w:sz w:val="28"/>
          <w:szCs w:val="28"/>
          <w:lang w:val="en-US" w:bidi="zh-CN"/>
        </w:rPr>
      </w:pPr>
      <w:r>
        <w:rPr>
          <w:rFonts w:hint="eastAsia" w:ascii="Times New Roman" w:hAnsi="Times New Roman" w:eastAsia="仿宋" w:cs="Times New Roman"/>
          <w:b w:val="0"/>
          <w:bCs w:val="0"/>
          <w:color w:val="auto"/>
          <w:sz w:val="28"/>
          <w:szCs w:val="28"/>
          <w:lang w:val="en-US" w:bidi="zh-CN"/>
        </w:rPr>
        <w:t>深入学习贯彻党的二十大精神和校第一次党代会精神，在理念上守正创新，载体上推陈出新，工作上破旧立新。加强基层党组织建设，扎实推进党建+，提高党的建设科学化、制度化、规范化水平，充分发挥党员教师在学位点建设中的带动支撑作用，加强学院党委对学位点建设的组织领导，定期组织学位点建设务虚会，统筹协调解决重大事项，引领开创</w:t>
      </w:r>
      <w:r>
        <w:rPr>
          <w:rFonts w:hint="eastAsia" w:ascii="Times New Roman" w:hAnsi="Times New Roman" w:eastAsia="仿宋" w:cs="Times New Roman"/>
          <w:b w:val="0"/>
          <w:bCs w:val="0"/>
          <w:color w:val="auto"/>
          <w:sz w:val="28"/>
          <w:szCs w:val="28"/>
          <w:lang w:val="en-US" w:eastAsia="zh-CN" w:bidi="zh-CN"/>
        </w:rPr>
        <w:t>旅游</w:t>
      </w:r>
      <w:r>
        <w:rPr>
          <w:rFonts w:hint="eastAsia" w:ascii="Times New Roman" w:hAnsi="Times New Roman" w:eastAsia="仿宋" w:cs="Times New Roman"/>
          <w:b w:val="0"/>
          <w:bCs w:val="0"/>
          <w:color w:val="auto"/>
          <w:sz w:val="28"/>
          <w:szCs w:val="28"/>
          <w:lang w:val="en-US" w:bidi="zh-CN"/>
        </w:rPr>
        <w:t>管理事业发展新局面。</w:t>
      </w:r>
    </w:p>
    <w:p w14:paraId="69DAA660">
      <w:pPr>
        <w:pStyle w:val="2"/>
        <w:spacing w:before="0" w:after="0" w:line="520" w:lineRule="exact"/>
        <w:ind w:firstLine="560" w:firstLineChars="200"/>
        <w:rPr>
          <w:rFonts w:hint="eastAsia" w:ascii="Times New Roman" w:hAnsi="Times New Roman" w:eastAsia="楷体" w:cs="Times New Roman"/>
          <w:b w:val="0"/>
          <w:bCs w:val="0"/>
          <w:color w:val="000000"/>
          <w:kern w:val="2"/>
          <w:sz w:val="28"/>
          <w:szCs w:val="28"/>
          <w:lang w:val="en-US" w:eastAsia="zh-CN" w:bidi="ar-SA"/>
        </w:rPr>
      </w:pPr>
      <w:r>
        <w:rPr>
          <w:rFonts w:hint="eastAsia" w:ascii="Times New Roman" w:hAnsi="Times New Roman" w:eastAsia="楷体" w:cs="Times New Roman"/>
          <w:b w:val="0"/>
          <w:bCs w:val="0"/>
          <w:color w:val="000000"/>
          <w:kern w:val="2"/>
          <w:sz w:val="28"/>
          <w:szCs w:val="28"/>
          <w:lang w:val="en-US" w:eastAsia="zh-CN" w:bidi="ar-SA"/>
        </w:rPr>
        <w:t>（二）稳步扩大招生规模</w:t>
      </w:r>
    </w:p>
    <w:p w14:paraId="418F68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eastAsia" w:ascii="Times New Roman" w:hAnsi="Times New Roman" w:eastAsia="仿宋" w:cs="Times New Roman"/>
          <w:b w:val="0"/>
          <w:bCs w:val="0"/>
          <w:color w:val="auto"/>
          <w:sz w:val="28"/>
          <w:szCs w:val="28"/>
          <w:lang w:val="en-US" w:bidi="zh-CN"/>
        </w:rPr>
      </w:pPr>
      <w:r>
        <w:rPr>
          <w:rFonts w:hint="eastAsia" w:ascii="Times New Roman" w:hAnsi="Times New Roman" w:eastAsia="仿宋" w:cs="Times New Roman"/>
          <w:b w:val="0"/>
          <w:bCs w:val="0"/>
          <w:color w:val="auto"/>
          <w:sz w:val="28"/>
          <w:szCs w:val="28"/>
          <w:lang w:val="en-US" w:bidi="zh-CN"/>
        </w:rPr>
        <w:t>明确目标市场，推广宣传渠道更加多元化、多样化，深耕细作，积极争取学校政策增加招生指标（含调剂指标），以优质的教育质量和品牌优势吸引更多的优质生源，重点挖掘校友资源，提高上线率和招生人数</w:t>
      </w:r>
      <w:r>
        <w:rPr>
          <w:rFonts w:hint="eastAsia" w:ascii="Times New Roman" w:hAnsi="Times New Roman" w:eastAsia="仿宋" w:cs="Times New Roman"/>
          <w:b w:val="0"/>
          <w:bCs w:val="0"/>
          <w:color w:val="auto"/>
          <w:sz w:val="28"/>
          <w:szCs w:val="28"/>
          <w:lang w:val="en-US" w:eastAsia="zh-CN" w:bidi="zh-CN"/>
        </w:rPr>
        <w:t>，争取2025年招生人数稳定在10人以上</w:t>
      </w:r>
      <w:r>
        <w:rPr>
          <w:rFonts w:hint="eastAsia" w:ascii="Times New Roman" w:hAnsi="Times New Roman" w:eastAsia="仿宋" w:cs="Times New Roman"/>
          <w:b w:val="0"/>
          <w:bCs w:val="0"/>
          <w:color w:val="auto"/>
          <w:sz w:val="28"/>
          <w:szCs w:val="28"/>
          <w:lang w:val="en-US" w:bidi="zh-CN"/>
        </w:rPr>
        <w:t>。</w:t>
      </w:r>
    </w:p>
    <w:p w14:paraId="245E2D81">
      <w:pPr>
        <w:pStyle w:val="2"/>
        <w:spacing w:before="0" w:after="0" w:line="520" w:lineRule="exact"/>
        <w:ind w:firstLine="560" w:firstLineChars="200"/>
        <w:rPr>
          <w:rFonts w:hint="eastAsia" w:ascii="Times New Roman" w:hAnsi="Times New Roman" w:eastAsia="楷体" w:cs="Times New Roman"/>
          <w:b w:val="0"/>
          <w:bCs w:val="0"/>
          <w:color w:val="000000"/>
          <w:kern w:val="2"/>
          <w:sz w:val="28"/>
          <w:szCs w:val="28"/>
          <w:lang w:val="en-US" w:eastAsia="zh-CN" w:bidi="ar-SA"/>
        </w:rPr>
      </w:pPr>
      <w:r>
        <w:rPr>
          <w:rFonts w:hint="eastAsia" w:ascii="Times New Roman" w:hAnsi="Times New Roman" w:eastAsia="楷体" w:cs="Times New Roman"/>
          <w:b w:val="0"/>
          <w:bCs w:val="0"/>
          <w:color w:val="000000"/>
          <w:kern w:val="2"/>
          <w:sz w:val="28"/>
          <w:szCs w:val="28"/>
          <w:lang w:val="en-US" w:eastAsia="zh-CN" w:bidi="ar-SA"/>
        </w:rPr>
        <w:t>（三）全力以赴做好2025年学位点建设合格评估工作</w:t>
      </w:r>
    </w:p>
    <w:p w14:paraId="5D37CF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eastAsia" w:ascii="Times New Roman" w:hAnsi="Times New Roman" w:eastAsia="楷体" w:cs="Times New Roman"/>
          <w:b w:val="0"/>
          <w:bCs w:val="0"/>
          <w:color w:val="000000"/>
          <w:kern w:val="2"/>
          <w:sz w:val="28"/>
          <w:szCs w:val="28"/>
          <w:lang w:val="en-US" w:eastAsia="zh-CN" w:bidi="ar-SA"/>
        </w:rPr>
      </w:pPr>
      <w:r>
        <w:rPr>
          <w:rFonts w:hint="eastAsia" w:ascii="Times New Roman" w:hAnsi="Times New Roman" w:eastAsia="仿宋" w:cs="Times New Roman"/>
          <w:b w:val="0"/>
          <w:bCs w:val="0"/>
          <w:color w:val="auto"/>
          <w:sz w:val="28"/>
          <w:szCs w:val="28"/>
          <w:lang w:val="en-US" w:eastAsia="zh-CN" w:bidi="zh-CN"/>
        </w:rPr>
        <w:t>学位点建设</w:t>
      </w:r>
      <w:r>
        <w:rPr>
          <w:rFonts w:hint="eastAsia" w:ascii="Times New Roman" w:hAnsi="Times New Roman" w:eastAsia="仿宋" w:cs="Times New Roman"/>
          <w:b w:val="0"/>
          <w:bCs w:val="0"/>
          <w:color w:val="auto"/>
          <w:sz w:val="28"/>
          <w:szCs w:val="28"/>
          <w:lang w:val="en-US" w:bidi="zh-CN"/>
        </w:rPr>
        <w:t>合格评估工作</w:t>
      </w:r>
      <w:r>
        <w:rPr>
          <w:rFonts w:hint="eastAsia" w:ascii="Times New Roman" w:hAnsi="Times New Roman" w:eastAsia="仿宋" w:cs="Times New Roman"/>
          <w:b w:val="0"/>
          <w:bCs w:val="0"/>
          <w:color w:val="auto"/>
          <w:sz w:val="28"/>
          <w:szCs w:val="28"/>
          <w:lang w:val="en-US" w:eastAsia="zh-CN" w:bidi="zh-CN"/>
        </w:rPr>
        <w:t>是2025年工作</w:t>
      </w:r>
      <w:r>
        <w:rPr>
          <w:rFonts w:hint="eastAsia" w:ascii="Times New Roman" w:hAnsi="Times New Roman" w:eastAsia="仿宋" w:cs="Times New Roman"/>
          <w:b w:val="0"/>
          <w:bCs w:val="0"/>
          <w:color w:val="auto"/>
          <w:sz w:val="28"/>
          <w:szCs w:val="28"/>
          <w:lang w:val="en-US" w:bidi="zh-CN"/>
        </w:rPr>
        <w:t>的重中之重，推动评估工作与各项工作齐头并进，我们要进一步提高站位，从政治责任的高度、学校发展的高度、提升人才培养质量的高度、学校社会声誉的高度看待合格评估，进一步围绕“以评促建、以评促改、以评促管、评建结合、重在建设”二十字方针，聚焦教育教学工作提升质量建设，不断提升迎评促建的工作质量。</w:t>
      </w:r>
      <w:r>
        <w:rPr>
          <w:rFonts w:hint="eastAsia" w:ascii="Times New Roman" w:hAnsi="Times New Roman" w:eastAsia="仿宋" w:cs="Times New Roman"/>
          <w:b w:val="0"/>
          <w:bCs w:val="0"/>
          <w:color w:val="auto"/>
          <w:sz w:val="28"/>
          <w:szCs w:val="28"/>
          <w:lang w:val="en-US" w:eastAsia="zh-CN" w:bidi="zh-CN"/>
        </w:rPr>
        <w:t>本学位点全体</w:t>
      </w:r>
      <w:r>
        <w:rPr>
          <w:rFonts w:hint="eastAsia" w:ascii="Times New Roman" w:hAnsi="Times New Roman" w:eastAsia="仿宋" w:cs="Times New Roman"/>
          <w:b w:val="0"/>
          <w:bCs w:val="0"/>
          <w:color w:val="auto"/>
          <w:sz w:val="28"/>
          <w:szCs w:val="28"/>
          <w:lang w:val="en-US" w:bidi="zh-CN"/>
        </w:rPr>
        <w:t>师生要咬定目标、全力以赴、奋力冲刺，以临战的势态、冲刺的状态、必胜的勇气、扎实的作风投入到这场攻坚大考中，确保顺利通过</w:t>
      </w:r>
      <w:r>
        <w:rPr>
          <w:rFonts w:hint="eastAsia" w:ascii="Times New Roman" w:hAnsi="Times New Roman" w:eastAsia="仿宋" w:cs="Times New Roman"/>
          <w:b w:val="0"/>
          <w:bCs w:val="0"/>
          <w:color w:val="auto"/>
          <w:sz w:val="28"/>
          <w:szCs w:val="28"/>
          <w:lang w:val="en-US" w:eastAsia="zh-CN" w:bidi="zh-CN"/>
        </w:rPr>
        <w:t>学位点建设</w:t>
      </w:r>
      <w:r>
        <w:rPr>
          <w:rFonts w:hint="eastAsia" w:ascii="Times New Roman" w:hAnsi="Times New Roman" w:eastAsia="仿宋" w:cs="Times New Roman"/>
          <w:b w:val="0"/>
          <w:bCs w:val="0"/>
          <w:color w:val="auto"/>
          <w:sz w:val="28"/>
          <w:szCs w:val="28"/>
          <w:lang w:val="en-US" w:bidi="zh-CN"/>
        </w:rPr>
        <w:t>合格评估，为</w:t>
      </w:r>
      <w:r>
        <w:rPr>
          <w:rFonts w:hint="eastAsia" w:ascii="Times New Roman" w:hAnsi="Times New Roman" w:eastAsia="仿宋" w:cs="Times New Roman"/>
          <w:b w:val="0"/>
          <w:bCs w:val="0"/>
          <w:color w:val="auto"/>
          <w:sz w:val="28"/>
          <w:szCs w:val="28"/>
          <w:lang w:val="en-US" w:eastAsia="zh-CN" w:bidi="zh-CN"/>
        </w:rPr>
        <w:t>本学位点建设长远发展</w:t>
      </w:r>
      <w:r>
        <w:rPr>
          <w:rFonts w:hint="eastAsia" w:ascii="Times New Roman" w:hAnsi="Times New Roman" w:eastAsia="仿宋" w:cs="Times New Roman"/>
          <w:b w:val="0"/>
          <w:bCs w:val="0"/>
          <w:color w:val="auto"/>
          <w:sz w:val="28"/>
          <w:szCs w:val="28"/>
          <w:lang w:val="en-US" w:bidi="zh-CN"/>
        </w:rPr>
        <w:t>打下坚实基础</w:t>
      </w:r>
      <w:r>
        <w:rPr>
          <w:rFonts w:hint="eastAsia" w:ascii="Times New Roman" w:hAnsi="Times New Roman" w:eastAsia="仿宋" w:cs="Times New Roman"/>
          <w:b w:val="0"/>
          <w:bCs w:val="0"/>
          <w:color w:val="auto"/>
          <w:sz w:val="28"/>
          <w:szCs w:val="28"/>
          <w:lang w:val="en-US" w:eastAsia="zh-CN" w:bidi="zh-CN"/>
        </w:rPr>
        <w:t>，</w:t>
      </w:r>
      <w:r>
        <w:rPr>
          <w:rFonts w:hint="eastAsia" w:ascii="Times New Roman" w:hAnsi="Times New Roman" w:eastAsia="仿宋" w:cs="Times New Roman"/>
          <w:b w:val="0"/>
          <w:bCs w:val="0"/>
          <w:color w:val="auto"/>
          <w:sz w:val="28"/>
          <w:szCs w:val="28"/>
          <w:lang w:val="en-US" w:bidi="zh-CN"/>
        </w:rPr>
        <w:t>推动学校</w:t>
      </w:r>
      <w:r>
        <w:rPr>
          <w:rFonts w:hint="eastAsia" w:ascii="Times New Roman" w:hAnsi="Times New Roman" w:eastAsia="仿宋" w:cs="Times New Roman"/>
          <w:b w:val="0"/>
          <w:bCs w:val="0"/>
          <w:color w:val="auto"/>
          <w:sz w:val="28"/>
          <w:szCs w:val="28"/>
          <w:lang w:val="en-US" w:eastAsia="zh-CN" w:bidi="zh-CN"/>
        </w:rPr>
        <w:t>研究生</w:t>
      </w:r>
      <w:r>
        <w:rPr>
          <w:rFonts w:hint="eastAsia" w:ascii="Times New Roman" w:hAnsi="Times New Roman" w:eastAsia="仿宋" w:cs="Times New Roman"/>
          <w:b w:val="0"/>
          <w:bCs w:val="0"/>
          <w:color w:val="auto"/>
          <w:sz w:val="28"/>
          <w:szCs w:val="28"/>
          <w:lang w:val="en-US" w:bidi="zh-CN"/>
        </w:rPr>
        <w:t>教育教学高质量发展。</w:t>
      </w:r>
    </w:p>
    <w:p w14:paraId="4651493C">
      <w:pPr>
        <w:pStyle w:val="2"/>
        <w:spacing w:before="0" w:after="0" w:line="520" w:lineRule="exact"/>
        <w:ind w:firstLine="560" w:firstLineChars="200"/>
        <w:rPr>
          <w:rFonts w:hint="eastAsia" w:ascii="Times New Roman" w:hAnsi="Times New Roman" w:eastAsia="楷体" w:cs="Times New Roman"/>
          <w:b w:val="0"/>
          <w:bCs w:val="0"/>
          <w:color w:val="000000"/>
          <w:kern w:val="2"/>
          <w:sz w:val="28"/>
          <w:szCs w:val="28"/>
          <w:lang w:val="en-US" w:eastAsia="zh-CN" w:bidi="ar-SA"/>
        </w:rPr>
      </w:pPr>
      <w:r>
        <w:rPr>
          <w:rFonts w:hint="eastAsia" w:ascii="Times New Roman" w:hAnsi="Times New Roman" w:eastAsia="楷体" w:cs="Times New Roman"/>
          <w:b w:val="0"/>
          <w:bCs w:val="0"/>
          <w:color w:val="000000"/>
          <w:kern w:val="2"/>
          <w:sz w:val="28"/>
          <w:szCs w:val="28"/>
          <w:lang w:val="en-US" w:eastAsia="zh-CN" w:bidi="ar-SA"/>
        </w:rPr>
        <w:t>（四）加强教学团队建设</w:t>
      </w:r>
    </w:p>
    <w:p w14:paraId="4DAF5B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eastAsia" w:ascii="Times New Roman" w:hAnsi="Times New Roman" w:eastAsia="楷体" w:cs="Times New Roman"/>
          <w:b w:val="0"/>
          <w:bCs w:val="0"/>
          <w:color w:val="000000"/>
          <w:kern w:val="2"/>
          <w:sz w:val="28"/>
          <w:szCs w:val="28"/>
          <w:lang w:val="en-US" w:eastAsia="zh-CN" w:bidi="ar-SA"/>
        </w:rPr>
      </w:pPr>
      <w:r>
        <w:rPr>
          <w:rFonts w:hint="eastAsia" w:ascii="Times New Roman" w:hAnsi="Times New Roman" w:eastAsia="仿宋" w:cs="Times New Roman"/>
          <w:b w:val="0"/>
          <w:bCs w:val="0"/>
          <w:color w:val="auto"/>
          <w:sz w:val="28"/>
          <w:szCs w:val="28"/>
          <w:lang w:val="en-US" w:bidi="zh-CN"/>
        </w:rPr>
        <w:t>以“明方向、有重点、补短板”为指导思想，以教学团队和课程组为基础，开展教学研讨，提升课堂教学质量。改革传统教学形式，采用案例教学、角色扮演、团队讨论等多元化教学方式，在较短时间内，通过“请进来，走出去”等多种方式，推动任课教师案例教学水平提高。依托学院现有平台，开展教育教学研究，申报省级一流课程，省级教育规划课题。注重实践教学，争取在产教融合一流课程、产教融合协同育人等项目中获得突破。以优质课程、教学案例库、教材等教学平台项目和教研教改课题为抓手，推动研究生教育改革发展以及教育教学质量提升，力争研究生在国家级、省级比赛中实现新的突破。</w:t>
      </w:r>
    </w:p>
    <w:p w14:paraId="284538AB">
      <w:pPr>
        <w:pStyle w:val="2"/>
        <w:spacing w:before="0" w:after="0" w:line="520" w:lineRule="exact"/>
        <w:ind w:firstLine="560" w:firstLineChars="200"/>
        <w:rPr>
          <w:rFonts w:hint="eastAsia" w:ascii="Times New Roman" w:hAnsi="Times New Roman" w:eastAsia="楷体" w:cs="Times New Roman"/>
          <w:b w:val="0"/>
          <w:bCs w:val="0"/>
          <w:color w:val="000000"/>
          <w:kern w:val="2"/>
          <w:sz w:val="28"/>
          <w:szCs w:val="28"/>
          <w:lang w:val="en-US" w:eastAsia="zh-CN" w:bidi="ar-SA"/>
        </w:rPr>
      </w:pPr>
      <w:r>
        <w:rPr>
          <w:rFonts w:hint="eastAsia" w:ascii="Times New Roman" w:hAnsi="Times New Roman" w:eastAsia="楷体" w:cs="Times New Roman"/>
          <w:b w:val="0"/>
          <w:bCs w:val="0"/>
          <w:color w:val="000000"/>
          <w:kern w:val="2"/>
          <w:sz w:val="28"/>
          <w:szCs w:val="28"/>
          <w:lang w:val="en-US" w:eastAsia="zh-CN" w:bidi="ar-SA"/>
        </w:rPr>
        <w:t>（五）加大校企合作和对外合作交流</w:t>
      </w:r>
    </w:p>
    <w:p w14:paraId="3F7B38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eastAsia" w:ascii="Times New Roman" w:hAnsi="Times New Roman" w:eastAsia="楷体" w:cs="Times New Roman"/>
          <w:b w:val="0"/>
          <w:bCs w:val="0"/>
          <w:color w:val="000000"/>
          <w:kern w:val="2"/>
          <w:sz w:val="28"/>
          <w:szCs w:val="28"/>
          <w:lang w:val="en-US" w:eastAsia="zh-CN" w:bidi="ar-SA"/>
        </w:rPr>
      </w:pPr>
      <w:r>
        <w:rPr>
          <w:rFonts w:hint="eastAsia" w:ascii="Times New Roman" w:hAnsi="Times New Roman" w:eastAsia="仿宋" w:cs="Times New Roman"/>
          <w:b w:val="0"/>
          <w:bCs w:val="0"/>
          <w:color w:val="auto"/>
          <w:sz w:val="28"/>
          <w:szCs w:val="28"/>
          <w:lang w:val="en-US" w:bidi="zh-CN"/>
        </w:rPr>
        <w:t>创新“校企双主体”育人机制，明确权益，完善协同育人长效机制。通过“实习基地”模式，安排学生企业实习，共建实训基地，整合“校、政、行、企”资源，打造多功能实训平台，模拟真实工作环境，增强学生实践能力。建设“互聘互用”师资队伍，</w:t>
      </w:r>
      <w:r>
        <w:rPr>
          <w:rFonts w:hint="eastAsia" w:ascii="Times New Roman" w:hAnsi="Times New Roman" w:eastAsia="仿宋" w:cs="Times New Roman"/>
          <w:b w:val="0"/>
          <w:bCs w:val="0"/>
          <w:color w:val="auto"/>
          <w:sz w:val="28"/>
          <w:szCs w:val="28"/>
          <w:lang w:val="en-US" w:eastAsia="zh-CN" w:bidi="zh-CN"/>
        </w:rPr>
        <w:t>行</w:t>
      </w:r>
      <w:r>
        <w:rPr>
          <w:rFonts w:hint="eastAsia" w:ascii="Times New Roman" w:hAnsi="Times New Roman" w:eastAsia="仿宋" w:cs="Times New Roman"/>
          <w:b w:val="0"/>
          <w:bCs w:val="0"/>
          <w:color w:val="auto"/>
          <w:sz w:val="28"/>
          <w:szCs w:val="28"/>
          <w:lang w:val="en-US" w:bidi="zh-CN"/>
        </w:rPr>
        <w:t>业</w:t>
      </w:r>
      <w:r>
        <w:rPr>
          <w:rFonts w:hint="eastAsia" w:ascii="Times New Roman" w:hAnsi="Times New Roman" w:eastAsia="仿宋" w:cs="Times New Roman"/>
          <w:b w:val="0"/>
          <w:bCs w:val="0"/>
          <w:color w:val="auto"/>
          <w:sz w:val="28"/>
          <w:szCs w:val="28"/>
          <w:lang w:val="en-US" w:eastAsia="zh-CN" w:bidi="zh-CN"/>
        </w:rPr>
        <w:t>专家</w:t>
      </w:r>
      <w:r>
        <w:rPr>
          <w:rFonts w:hint="eastAsia" w:ascii="Times New Roman" w:hAnsi="Times New Roman" w:eastAsia="仿宋" w:cs="Times New Roman"/>
          <w:b w:val="0"/>
          <w:bCs w:val="0"/>
          <w:color w:val="auto"/>
          <w:sz w:val="28"/>
          <w:szCs w:val="28"/>
          <w:lang w:val="en-US" w:bidi="zh-CN"/>
        </w:rPr>
        <w:t>与教师双向交流，提升教师实践教学能力。深化产教融合，将</w:t>
      </w:r>
      <w:r>
        <w:rPr>
          <w:rFonts w:hint="eastAsia" w:ascii="Times New Roman" w:hAnsi="Times New Roman" w:eastAsia="仿宋" w:cs="Times New Roman"/>
          <w:b w:val="0"/>
          <w:bCs w:val="0"/>
          <w:color w:val="auto"/>
          <w:sz w:val="28"/>
          <w:szCs w:val="28"/>
          <w:lang w:val="en-US" w:eastAsia="zh-CN" w:bidi="zh-CN"/>
        </w:rPr>
        <w:t>行</w:t>
      </w:r>
      <w:r>
        <w:rPr>
          <w:rFonts w:hint="eastAsia" w:ascii="Times New Roman" w:hAnsi="Times New Roman" w:eastAsia="仿宋" w:cs="Times New Roman"/>
          <w:b w:val="0"/>
          <w:bCs w:val="0"/>
          <w:color w:val="auto"/>
          <w:sz w:val="28"/>
          <w:szCs w:val="28"/>
          <w:lang w:val="en-US" w:bidi="zh-CN"/>
        </w:rPr>
        <w:t>业项目融入教学，开展项目式学习，合作应用型研究，促进成果转化。加强与旅游行业协会、企业联系，组织学生参与行业实践活动，建立行业导师制度，邀请专家指导实践。参与国际学术会议，拓宽师生国际视野，提升学生实践能力和国际竞争力，为旅游行业输送高质量人才。</w:t>
      </w:r>
    </w:p>
    <w:p w14:paraId="533371BB">
      <w:pPr>
        <w:pStyle w:val="2"/>
        <w:spacing w:before="0" w:after="0" w:line="520" w:lineRule="exact"/>
        <w:ind w:firstLine="560" w:firstLineChars="200"/>
        <w:rPr>
          <w:rFonts w:hint="eastAsia" w:ascii="Times New Roman" w:hAnsi="Times New Roman" w:eastAsia="楷体" w:cs="Times New Roman"/>
          <w:b w:val="0"/>
          <w:bCs w:val="0"/>
          <w:color w:val="000000"/>
          <w:kern w:val="2"/>
          <w:sz w:val="28"/>
          <w:szCs w:val="28"/>
          <w:lang w:val="en-US" w:eastAsia="zh-CN" w:bidi="ar-SA"/>
        </w:rPr>
      </w:pPr>
      <w:r>
        <w:rPr>
          <w:rFonts w:hint="eastAsia" w:ascii="Times New Roman" w:hAnsi="Times New Roman" w:eastAsia="楷体" w:cs="Times New Roman"/>
          <w:b w:val="0"/>
          <w:bCs w:val="0"/>
          <w:color w:val="000000"/>
          <w:kern w:val="2"/>
          <w:sz w:val="28"/>
          <w:szCs w:val="28"/>
          <w:lang w:val="en-US" w:eastAsia="zh-CN" w:bidi="ar-SA"/>
        </w:rPr>
        <w:t>（六）不断提升人才培养质量</w:t>
      </w:r>
    </w:p>
    <w:p w14:paraId="1AE695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eastAsia" w:ascii="Times New Roman" w:hAnsi="Times New Roman" w:eastAsia="仿宋" w:cs="Times New Roman"/>
          <w:b w:val="0"/>
          <w:bCs w:val="0"/>
          <w:color w:val="auto"/>
          <w:sz w:val="28"/>
          <w:szCs w:val="28"/>
          <w:lang w:val="en-US" w:bidi="zh-CN"/>
        </w:rPr>
      </w:pPr>
      <w:r>
        <w:rPr>
          <w:rFonts w:hint="eastAsia" w:ascii="Times New Roman" w:hAnsi="Times New Roman" w:eastAsia="仿宋" w:cs="Times New Roman"/>
          <w:b w:val="0"/>
          <w:bCs w:val="0"/>
          <w:color w:val="auto"/>
          <w:sz w:val="28"/>
          <w:szCs w:val="28"/>
          <w:lang w:val="en-US" w:bidi="zh-CN"/>
        </w:rPr>
        <w:t>大力开展人才“三识”“三能”“三力”和“三效”的培养。“三识”即知识、见识和共识，“三能”即技能、才能和潜能，“三力”即能力、实力和潜力，“三效”即效果、效率和效益。在贯彻实施“四个三”过程中，坚持以“立德树人”为根本，以“三全育人”为导向，多措并举，通过思想引领、制度建设、内涵建设、平台建设、实践创新等各个方面的努力，扎实推进研究生教育，全面提升研究生人才培养质量，满足社会对旅游管理人才的需求，打造湖工商品牌。</w:t>
      </w:r>
    </w:p>
    <w:p w14:paraId="6BCF759A">
      <w:pPr>
        <w:pStyle w:val="2"/>
        <w:spacing w:before="0" w:after="0" w:line="520" w:lineRule="exact"/>
        <w:ind w:firstLine="560" w:firstLineChars="200"/>
        <w:rPr>
          <w:rFonts w:hint="eastAsia" w:ascii="Times New Roman" w:hAnsi="Times New Roman" w:eastAsia="楷体" w:cs="Times New Roman"/>
          <w:b w:val="0"/>
          <w:bCs w:val="0"/>
          <w:color w:val="000000"/>
          <w:kern w:val="2"/>
          <w:sz w:val="28"/>
          <w:szCs w:val="28"/>
          <w:lang w:val="en-US" w:eastAsia="zh-CN" w:bidi="ar-SA"/>
        </w:rPr>
      </w:pPr>
      <w:r>
        <w:rPr>
          <w:rFonts w:hint="eastAsia" w:ascii="Times New Roman" w:hAnsi="Times New Roman" w:eastAsia="楷体" w:cs="Times New Roman"/>
          <w:b w:val="0"/>
          <w:bCs w:val="0"/>
          <w:color w:val="000000"/>
          <w:kern w:val="2"/>
          <w:sz w:val="28"/>
          <w:szCs w:val="28"/>
          <w:lang w:val="en-US" w:eastAsia="zh-CN" w:bidi="ar-SA"/>
        </w:rPr>
        <w:t>（七）进一步提升管理服务品质</w:t>
      </w:r>
    </w:p>
    <w:p w14:paraId="1E3936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jc w:val="both"/>
        <w:textAlignment w:val="auto"/>
        <w:rPr>
          <w:rFonts w:hint="eastAsia" w:ascii="Times New Roman" w:hAnsi="Times New Roman" w:cs="Times New Roman"/>
          <w:color w:val="auto"/>
          <w:sz w:val="28"/>
          <w:szCs w:val="28"/>
          <w:lang w:val="en-US" w:eastAsia="zh-CN" w:bidi="zh-CN"/>
        </w:rPr>
      </w:pPr>
      <w:r>
        <w:rPr>
          <w:rFonts w:hint="eastAsia" w:ascii="Times New Roman" w:hAnsi="Times New Roman" w:eastAsia="仿宋" w:cs="Times New Roman"/>
          <w:b w:val="0"/>
          <w:bCs w:val="0"/>
          <w:color w:val="auto"/>
          <w:sz w:val="28"/>
          <w:szCs w:val="28"/>
          <w:lang w:val="en-US" w:bidi="zh-CN"/>
        </w:rPr>
        <w:t>积极向MTA办学先进院校学习管理经验，要继续加强和完善制度建设，优化工作流程，提高管理工作水平，增强服务意识，最大限度地满足考生的愿望和利益，以更专业、更优质的服务忠实地践行“以生为本”的重要思想，从学生在校生活和学习两方面入手，营造良好的生活和学习环境，在学生中形成良好的口碑。</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8F06A">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8CCF61">
                          <w:pPr>
                            <w:pStyle w:val="6"/>
                            <w:rPr>
                              <w:rFonts w:ascii="宋体" w:hAnsi="宋体" w:eastAsia="宋体"/>
                              <w:sz w:val="28"/>
                            </w:rPr>
                          </w:pPr>
                          <w:r>
                            <w:rPr>
                              <w:rFonts w:ascii="宋体" w:hAnsi="宋体" w:eastAsia="宋体"/>
                              <w:sz w:val="28"/>
                            </w:rPr>
                            <w:t>—</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HN51Lo4AgAAaw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c3nUujgCAABrBAAADgAAAAAAAAABACAAAAAlAQAAZHJzL2Uy&#10;b0RvYy54bWxQSwUGAAAAAAYABgBZAQAAzwUAAAAA&#10;">
              <v:fill on="f" focussize="0,0"/>
              <v:stroke on="f" weight="0.5pt"/>
              <v:imagedata o:title=""/>
              <o:lock v:ext="edit" aspectratio="f"/>
              <v:textbox inset="16pt,0mm,16pt,0mm" style="mso-fit-shape-to-text:t;">
                <w:txbxContent>
                  <w:p w14:paraId="648CCF61">
                    <w:pPr>
                      <w:pStyle w:val="6"/>
                      <w:rPr>
                        <w:rFonts w:ascii="宋体" w:hAnsi="宋体" w:eastAsia="宋体"/>
                        <w:sz w:val="28"/>
                      </w:rPr>
                    </w:pPr>
                    <w:r>
                      <w:rPr>
                        <w:rFonts w:ascii="宋体" w:hAnsi="宋体" w:eastAsia="宋体"/>
                        <w:sz w:val="28"/>
                      </w:rPr>
                      <w:t>—</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D03A13"/>
    <w:rsid w:val="00AB3DCE"/>
    <w:rsid w:val="00CD4BB8"/>
    <w:rsid w:val="010D6231"/>
    <w:rsid w:val="01565158"/>
    <w:rsid w:val="0180607E"/>
    <w:rsid w:val="01966001"/>
    <w:rsid w:val="01991E6F"/>
    <w:rsid w:val="02071E3B"/>
    <w:rsid w:val="03C50696"/>
    <w:rsid w:val="04E26357"/>
    <w:rsid w:val="05017E1B"/>
    <w:rsid w:val="05790B12"/>
    <w:rsid w:val="05C16B4E"/>
    <w:rsid w:val="05CB6F8A"/>
    <w:rsid w:val="05F70BF9"/>
    <w:rsid w:val="06F55B6E"/>
    <w:rsid w:val="07014E31"/>
    <w:rsid w:val="079E6F55"/>
    <w:rsid w:val="085046B9"/>
    <w:rsid w:val="08A44E3E"/>
    <w:rsid w:val="0A3B2847"/>
    <w:rsid w:val="0A8A3A1B"/>
    <w:rsid w:val="0A9A2486"/>
    <w:rsid w:val="0B6D227E"/>
    <w:rsid w:val="0B7B4E40"/>
    <w:rsid w:val="0BBA0445"/>
    <w:rsid w:val="0BBD3296"/>
    <w:rsid w:val="0BCB3461"/>
    <w:rsid w:val="0C7C499D"/>
    <w:rsid w:val="0C7D1D94"/>
    <w:rsid w:val="0D4D0CB0"/>
    <w:rsid w:val="0E355FDF"/>
    <w:rsid w:val="0E663FCB"/>
    <w:rsid w:val="0E680ABB"/>
    <w:rsid w:val="0E8F4DA3"/>
    <w:rsid w:val="0EB74BA3"/>
    <w:rsid w:val="0ECD3437"/>
    <w:rsid w:val="0FD56CF8"/>
    <w:rsid w:val="102804DE"/>
    <w:rsid w:val="10743C82"/>
    <w:rsid w:val="10DA5EEA"/>
    <w:rsid w:val="10F13271"/>
    <w:rsid w:val="11040A0E"/>
    <w:rsid w:val="113F20D9"/>
    <w:rsid w:val="116A659C"/>
    <w:rsid w:val="117E09BE"/>
    <w:rsid w:val="11AE55EB"/>
    <w:rsid w:val="11D86F3C"/>
    <w:rsid w:val="11E3497A"/>
    <w:rsid w:val="11F46629"/>
    <w:rsid w:val="129E4032"/>
    <w:rsid w:val="12A46D04"/>
    <w:rsid w:val="13AA12CD"/>
    <w:rsid w:val="14003F5A"/>
    <w:rsid w:val="149E042D"/>
    <w:rsid w:val="14FE10E7"/>
    <w:rsid w:val="15871443"/>
    <w:rsid w:val="15E50066"/>
    <w:rsid w:val="16740A95"/>
    <w:rsid w:val="16D61660"/>
    <w:rsid w:val="170D383B"/>
    <w:rsid w:val="174D58D4"/>
    <w:rsid w:val="177071C6"/>
    <w:rsid w:val="17727BAB"/>
    <w:rsid w:val="181F1AB8"/>
    <w:rsid w:val="184101C9"/>
    <w:rsid w:val="18AB33C6"/>
    <w:rsid w:val="18B16F83"/>
    <w:rsid w:val="19094604"/>
    <w:rsid w:val="190C35E6"/>
    <w:rsid w:val="19534E60"/>
    <w:rsid w:val="19952A97"/>
    <w:rsid w:val="1A2F0D1B"/>
    <w:rsid w:val="1A542DC9"/>
    <w:rsid w:val="1A936502"/>
    <w:rsid w:val="1AE24F50"/>
    <w:rsid w:val="1B78700A"/>
    <w:rsid w:val="1B901861"/>
    <w:rsid w:val="1BA52D92"/>
    <w:rsid w:val="1BC24A6B"/>
    <w:rsid w:val="1BD013CE"/>
    <w:rsid w:val="1BDD282C"/>
    <w:rsid w:val="1C0C23EA"/>
    <w:rsid w:val="1C482C37"/>
    <w:rsid w:val="1CCD6D11"/>
    <w:rsid w:val="1D681535"/>
    <w:rsid w:val="1D825363"/>
    <w:rsid w:val="1D8F24B8"/>
    <w:rsid w:val="1DBB7895"/>
    <w:rsid w:val="1EB45E4E"/>
    <w:rsid w:val="1EEC6E52"/>
    <w:rsid w:val="1F045373"/>
    <w:rsid w:val="1F0A58B4"/>
    <w:rsid w:val="1F3B6220"/>
    <w:rsid w:val="1F933A42"/>
    <w:rsid w:val="205A1F99"/>
    <w:rsid w:val="2098494F"/>
    <w:rsid w:val="211F6244"/>
    <w:rsid w:val="21471DBB"/>
    <w:rsid w:val="2176611F"/>
    <w:rsid w:val="21BC25D3"/>
    <w:rsid w:val="21F32B18"/>
    <w:rsid w:val="22383622"/>
    <w:rsid w:val="22CB23E7"/>
    <w:rsid w:val="23265816"/>
    <w:rsid w:val="233867D9"/>
    <w:rsid w:val="23E01AFD"/>
    <w:rsid w:val="246639BE"/>
    <w:rsid w:val="25863BA4"/>
    <w:rsid w:val="25AE518C"/>
    <w:rsid w:val="25CF352E"/>
    <w:rsid w:val="266B2B94"/>
    <w:rsid w:val="28510C68"/>
    <w:rsid w:val="28E62904"/>
    <w:rsid w:val="294E7557"/>
    <w:rsid w:val="297F020C"/>
    <w:rsid w:val="299F26BB"/>
    <w:rsid w:val="29D40503"/>
    <w:rsid w:val="2A103F62"/>
    <w:rsid w:val="2A2879AC"/>
    <w:rsid w:val="2A62710E"/>
    <w:rsid w:val="2A795BD0"/>
    <w:rsid w:val="2AE34716"/>
    <w:rsid w:val="2AFE6F41"/>
    <w:rsid w:val="2B6A0410"/>
    <w:rsid w:val="2B93532B"/>
    <w:rsid w:val="2BEA6EA9"/>
    <w:rsid w:val="2C6B28F8"/>
    <w:rsid w:val="2C9A29E9"/>
    <w:rsid w:val="2CB10837"/>
    <w:rsid w:val="2D437C68"/>
    <w:rsid w:val="2D9E1747"/>
    <w:rsid w:val="2DB80214"/>
    <w:rsid w:val="2DD60CD6"/>
    <w:rsid w:val="2E0733A0"/>
    <w:rsid w:val="2E16757F"/>
    <w:rsid w:val="2E3229BD"/>
    <w:rsid w:val="2E775660"/>
    <w:rsid w:val="2EDD3DE5"/>
    <w:rsid w:val="2EFE5F66"/>
    <w:rsid w:val="2F184F89"/>
    <w:rsid w:val="2F27679E"/>
    <w:rsid w:val="2FE300A3"/>
    <w:rsid w:val="30173125"/>
    <w:rsid w:val="30C52A2A"/>
    <w:rsid w:val="30D11523"/>
    <w:rsid w:val="310757FC"/>
    <w:rsid w:val="31D2464F"/>
    <w:rsid w:val="31EC72B2"/>
    <w:rsid w:val="31F4309F"/>
    <w:rsid w:val="324E3233"/>
    <w:rsid w:val="32C11EF3"/>
    <w:rsid w:val="32D347EF"/>
    <w:rsid w:val="32E06C0A"/>
    <w:rsid w:val="330765A8"/>
    <w:rsid w:val="345A4E3C"/>
    <w:rsid w:val="348432A9"/>
    <w:rsid w:val="34962494"/>
    <w:rsid w:val="349E593D"/>
    <w:rsid w:val="34D03A13"/>
    <w:rsid w:val="350602D7"/>
    <w:rsid w:val="35103B25"/>
    <w:rsid w:val="35CE0B54"/>
    <w:rsid w:val="35EB6937"/>
    <w:rsid w:val="363574AB"/>
    <w:rsid w:val="36A33806"/>
    <w:rsid w:val="37BF6493"/>
    <w:rsid w:val="385C0CD5"/>
    <w:rsid w:val="38C86A82"/>
    <w:rsid w:val="39047A36"/>
    <w:rsid w:val="398763B5"/>
    <w:rsid w:val="398808C1"/>
    <w:rsid w:val="39A66A19"/>
    <w:rsid w:val="39C02EED"/>
    <w:rsid w:val="39F243EC"/>
    <w:rsid w:val="3A2E58EE"/>
    <w:rsid w:val="3A687563"/>
    <w:rsid w:val="3AAE229A"/>
    <w:rsid w:val="3BFA1966"/>
    <w:rsid w:val="3C834983"/>
    <w:rsid w:val="3D0A31CF"/>
    <w:rsid w:val="3E0B1812"/>
    <w:rsid w:val="3E940FCB"/>
    <w:rsid w:val="3EE04C52"/>
    <w:rsid w:val="3F7660FA"/>
    <w:rsid w:val="3F9E5E34"/>
    <w:rsid w:val="3FD65FF1"/>
    <w:rsid w:val="407C6EB6"/>
    <w:rsid w:val="40C15C2E"/>
    <w:rsid w:val="40D34132"/>
    <w:rsid w:val="40F51D0D"/>
    <w:rsid w:val="41053F0D"/>
    <w:rsid w:val="41127E5D"/>
    <w:rsid w:val="41267622"/>
    <w:rsid w:val="41FB5437"/>
    <w:rsid w:val="42E07A16"/>
    <w:rsid w:val="430B23F4"/>
    <w:rsid w:val="43206459"/>
    <w:rsid w:val="432E328A"/>
    <w:rsid w:val="439E2127"/>
    <w:rsid w:val="44211F92"/>
    <w:rsid w:val="44630AA8"/>
    <w:rsid w:val="44AB6553"/>
    <w:rsid w:val="44B12D68"/>
    <w:rsid w:val="459D2E05"/>
    <w:rsid w:val="45B63F57"/>
    <w:rsid w:val="46F51715"/>
    <w:rsid w:val="47386A62"/>
    <w:rsid w:val="48002921"/>
    <w:rsid w:val="483F34C9"/>
    <w:rsid w:val="48731399"/>
    <w:rsid w:val="487D2F49"/>
    <w:rsid w:val="48B72234"/>
    <w:rsid w:val="48EA1433"/>
    <w:rsid w:val="48FB2A50"/>
    <w:rsid w:val="493B798F"/>
    <w:rsid w:val="49483E4E"/>
    <w:rsid w:val="4975628D"/>
    <w:rsid w:val="49C275D3"/>
    <w:rsid w:val="4A830CCA"/>
    <w:rsid w:val="4AA169EA"/>
    <w:rsid w:val="4AC16AE2"/>
    <w:rsid w:val="4B2D433C"/>
    <w:rsid w:val="4B5F0029"/>
    <w:rsid w:val="4B9235D7"/>
    <w:rsid w:val="4B9B0306"/>
    <w:rsid w:val="4C1134C9"/>
    <w:rsid w:val="4C260C2C"/>
    <w:rsid w:val="4DDE19A7"/>
    <w:rsid w:val="4E577A4D"/>
    <w:rsid w:val="4E5F3950"/>
    <w:rsid w:val="4E6C590E"/>
    <w:rsid w:val="4EA820FB"/>
    <w:rsid w:val="4F216E52"/>
    <w:rsid w:val="4FA04770"/>
    <w:rsid w:val="4FFE03FC"/>
    <w:rsid w:val="500645D8"/>
    <w:rsid w:val="50617AE8"/>
    <w:rsid w:val="50B20D82"/>
    <w:rsid w:val="50BA1C13"/>
    <w:rsid w:val="50C30774"/>
    <w:rsid w:val="50D95681"/>
    <w:rsid w:val="50FA09C1"/>
    <w:rsid w:val="51053931"/>
    <w:rsid w:val="5134505B"/>
    <w:rsid w:val="520609A2"/>
    <w:rsid w:val="524403C5"/>
    <w:rsid w:val="526D5647"/>
    <w:rsid w:val="52E36E2A"/>
    <w:rsid w:val="531F0198"/>
    <w:rsid w:val="53225049"/>
    <w:rsid w:val="534355E7"/>
    <w:rsid w:val="53873585"/>
    <w:rsid w:val="53F71E28"/>
    <w:rsid w:val="541435C0"/>
    <w:rsid w:val="549955D2"/>
    <w:rsid w:val="54BD0D06"/>
    <w:rsid w:val="56722938"/>
    <w:rsid w:val="587943B5"/>
    <w:rsid w:val="590F6274"/>
    <w:rsid w:val="59421E6F"/>
    <w:rsid w:val="597A58EE"/>
    <w:rsid w:val="599828EC"/>
    <w:rsid w:val="5A862F33"/>
    <w:rsid w:val="5AC256CA"/>
    <w:rsid w:val="5B1F2AAC"/>
    <w:rsid w:val="5B2A783A"/>
    <w:rsid w:val="5B6651BD"/>
    <w:rsid w:val="5C725E01"/>
    <w:rsid w:val="5C89685A"/>
    <w:rsid w:val="5C97501B"/>
    <w:rsid w:val="5C97763D"/>
    <w:rsid w:val="5D681687"/>
    <w:rsid w:val="5E34492E"/>
    <w:rsid w:val="5E68164B"/>
    <w:rsid w:val="5EA35EE5"/>
    <w:rsid w:val="5FAF5977"/>
    <w:rsid w:val="5FC17EA7"/>
    <w:rsid w:val="601C1489"/>
    <w:rsid w:val="60570B7A"/>
    <w:rsid w:val="60BB1211"/>
    <w:rsid w:val="623E5151"/>
    <w:rsid w:val="628379E5"/>
    <w:rsid w:val="62B87287"/>
    <w:rsid w:val="62C020B9"/>
    <w:rsid w:val="636E54AD"/>
    <w:rsid w:val="646D05E1"/>
    <w:rsid w:val="64AD6581"/>
    <w:rsid w:val="64D3426B"/>
    <w:rsid w:val="64EE7F5A"/>
    <w:rsid w:val="650E61EB"/>
    <w:rsid w:val="653D01F6"/>
    <w:rsid w:val="6616464C"/>
    <w:rsid w:val="66471481"/>
    <w:rsid w:val="66EB4715"/>
    <w:rsid w:val="676C2234"/>
    <w:rsid w:val="67776E38"/>
    <w:rsid w:val="67E135EC"/>
    <w:rsid w:val="6853181C"/>
    <w:rsid w:val="686F6F2F"/>
    <w:rsid w:val="695C6F99"/>
    <w:rsid w:val="696C501E"/>
    <w:rsid w:val="699B7878"/>
    <w:rsid w:val="6A2C3C22"/>
    <w:rsid w:val="6AF0239D"/>
    <w:rsid w:val="6B3A4B41"/>
    <w:rsid w:val="6C267D77"/>
    <w:rsid w:val="6C5C2B53"/>
    <w:rsid w:val="6C985EE3"/>
    <w:rsid w:val="6CB229AE"/>
    <w:rsid w:val="6D162264"/>
    <w:rsid w:val="6D932242"/>
    <w:rsid w:val="6DD13965"/>
    <w:rsid w:val="6DEC1EDA"/>
    <w:rsid w:val="6DED3D30"/>
    <w:rsid w:val="6E987C7C"/>
    <w:rsid w:val="6F3B11CD"/>
    <w:rsid w:val="6FA8413F"/>
    <w:rsid w:val="705636CC"/>
    <w:rsid w:val="70651F69"/>
    <w:rsid w:val="70691761"/>
    <w:rsid w:val="70AF2C4B"/>
    <w:rsid w:val="70EA2DC8"/>
    <w:rsid w:val="712342C9"/>
    <w:rsid w:val="712F0E02"/>
    <w:rsid w:val="714261EF"/>
    <w:rsid w:val="7152616D"/>
    <w:rsid w:val="725858E5"/>
    <w:rsid w:val="72B0144C"/>
    <w:rsid w:val="73161F54"/>
    <w:rsid w:val="73B84AB0"/>
    <w:rsid w:val="740906F6"/>
    <w:rsid w:val="74FF1994"/>
    <w:rsid w:val="755C0B7E"/>
    <w:rsid w:val="759822CB"/>
    <w:rsid w:val="76135403"/>
    <w:rsid w:val="76303376"/>
    <w:rsid w:val="763A55D2"/>
    <w:rsid w:val="78002B63"/>
    <w:rsid w:val="782850B4"/>
    <w:rsid w:val="788F6C45"/>
    <w:rsid w:val="789D2049"/>
    <w:rsid w:val="78BC29CA"/>
    <w:rsid w:val="78C6186C"/>
    <w:rsid w:val="7ABE527C"/>
    <w:rsid w:val="7AE02A2A"/>
    <w:rsid w:val="7B937201"/>
    <w:rsid w:val="7BC434EB"/>
    <w:rsid w:val="7C5264E6"/>
    <w:rsid w:val="7C836F81"/>
    <w:rsid w:val="7CA45339"/>
    <w:rsid w:val="7CD91CB8"/>
    <w:rsid w:val="7CDF1996"/>
    <w:rsid w:val="7D255C45"/>
    <w:rsid w:val="7D2D2B9C"/>
    <w:rsid w:val="7D745BAF"/>
    <w:rsid w:val="7E060268"/>
    <w:rsid w:val="7EA66961"/>
    <w:rsid w:val="7EF36B1D"/>
    <w:rsid w:val="7F462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28"/>
      <w:szCs w:val="28"/>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b/>
      <w:sz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caption"/>
    <w:basedOn w:val="1"/>
    <w:next w:val="1"/>
    <w:qFormat/>
    <w:uiPriority w:val="0"/>
    <w:pPr>
      <w:ind w:firstLine="400" w:firstLineChars="200"/>
    </w:pPr>
    <w:rPr>
      <w:rFonts w:ascii="Arial" w:hAnsi="Arial" w:eastAsia="黑体"/>
      <w:sz w:val="20"/>
    </w:rPr>
  </w:style>
  <w:style w:type="paragraph" w:styleId="5">
    <w:name w:val="Body Text"/>
    <w:basedOn w:val="1"/>
    <w:qFormat/>
    <w:uiPriority w:val="1"/>
    <w:pPr>
      <w:ind w:left="120"/>
    </w:pPr>
    <w:rPr>
      <w:rFonts w:ascii="宋体" w:hAnsi="宋体" w:eastAsia="宋体" w:cs="宋体"/>
      <w:i/>
      <w:iCs/>
      <w:sz w:val="28"/>
      <w:szCs w:val="28"/>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jc w:val="left"/>
    </w:pPr>
    <w:rPr>
      <w:kern w:val="0"/>
      <w:sz w:val="24"/>
    </w:rPr>
  </w:style>
  <w:style w:type="paragraph" w:styleId="9">
    <w:name w:val="Title"/>
    <w:basedOn w:val="1"/>
    <w:qFormat/>
    <w:uiPriority w:val="1"/>
    <w:pPr>
      <w:ind w:left="1224" w:right="1409" w:hanging="72"/>
    </w:pPr>
    <w:rPr>
      <w:rFonts w:ascii="微软雅黑" w:hAnsi="微软雅黑" w:eastAsia="微软雅黑" w:cs="微软雅黑"/>
      <w:sz w:val="44"/>
      <w:szCs w:val="44"/>
      <w:lang w:val="en-US" w:eastAsia="zh-CN" w:bidi="ar-SA"/>
    </w:rPr>
  </w:style>
  <w:style w:type="paragraph" w:customStyle="1" w:styleId="12">
    <w:name w:val="Table Paragraph"/>
    <w:basedOn w:val="1"/>
    <w:qFormat/>
    <w:uiPriority w:val="1"/>
    <w:pPr>
      <w:spacing w:before="74"/>
      <w:ind w:left="100"/>
    </w:pPr>
    <w:rPr>
      <w:rFonts w:ascii="微软雅黑" w:hAnsi="微软雅黑" w:eastAsia="微软雅黑" w:cs="微软雅黑"/>
      <w:lang w:val="en-US" w:eastAsia="zh-CN" w:bidi="ar-SA"/>
    </w:rPr>
  </w:style>
  <w:style w:type="character" w:customStyle="1" w:styleId="13">
    <w:name w:val="font11"/>
    <w:basedOn w:val="11"/>
    <w:autoRedefine/>
    <w:qFormat/>
    <w:uiPriority w:val="0"/>
    <w:rPr>
      <w:rFonts w:hint="eastAsia" w:ascii="仿宋" w:hAnsi="仿宋" w:eastAsia="仿宋" w:cs="仿宋"/>
      <w:color w:val="FF0000"/>
      <w:sz w:val="24"/>
      <w:szCs w:val="24"/>
      <w:u w:val="none"/>
    </w:rPr>
  </w:style>
  <w:style w:type="character" w:customStyle="1" w:styleId="14">
    <w:name w:val="font31"/>
    <w:basedOn w:val="11"/>
    <w:autoRedefine/>
    <w:qFormat/>
    <w:uiPriority w:val="0"/>
    <w:rPr>
      <w:rFonts w:hint="eastAsia" w:ascii="仿宋" w:hAnsi="仿宋" w:eastAsia="仿宋" w:cs="仿宋"/>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1138</Words>
  <Characters>1175</Characters>
  <Lines>0</Lines>
  <Paragraphs>0</Paragraphs>
  <TotalTime>0</TotalTime>
  <ScaleCrop>false</ScaleCrop>
  <LinksUpToDate>false</LinksUpToDate>
  <CharactersWithSpaces>1188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2025-11-27T09:51:00Z</dcterms:created>
  <dc:creator>Hui Q</dc:creator>
  <cp:lastModifiedBy>倪艳</cp:lastModifiedBy>
  <cp:lastPrinted>2025-11-29T09:10:00Z</cp:lastPrinted>
  <dcterms:modified xsi:type="dcterms:W3CDTF">2025-12-02T06:52:29Z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B5FAA179A78349C497F263D0F3473523_13</vt:lpwstr>
  </property>
  <property fmtid="{D5CDD505-2E9C-101B-9397-08002B2CF9AE}" pid="4" name="KSOTemplateDocerSaveRecord">
    <vt:lpwstr>eyJoZGlkIjoiOWZkNWUzZTY1NWIwNjM5YWY5MGY5ODk4MTE4MTA4MzMiLCJ1c2VySWQiOiIzNDcyMzk0NDkifQ==</vt:lpwstr>
  </property>
</Properties>
</file>