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B69E9">
      <w:pPr>
        <w:ind w:left="0" w:leftChars="0" w:firstLine="0" w:firstLineChars="0"/>
        <w:jc w:val="both"/>
        <w:rPr>
          <w:rFonts w:hint="eastAsia" w:ascii="Times New Roman" w:hAnsi="Times New Roman" w:eastAsia="黑体" w:cs="黑体"/>
          <w:color w:val="000000"/>
          <w:kern w:val="0"/>
          <w:sz w:val="43"/>
          <w:szCs w:val="43"/>
          <w:lang w:val="en-US" w:eastAsia="zh-CN" w:bidi="ar"/>
        </w:rPr>
      </w:pPr>
      <w:r>
        <w:rPr>
          <w:rFonts w:hint="eastAsia" w:ascii="华文中宋" w:hAnsi="华文中宋" w:eastAsia="华文中宋"/>
          <w:b/>
          <w:bCs/>
          <w:color w:val="000000"/>
          <w:sz w:val="28"/>
          <w:szCs w:val="28"/>
          <w:lang w:val="en-US" w:eastAsia="zh-CN"/>
        </w:rPr>
        <w:t>附件1：</w:t>
      </w:r>
    </w:p>
    <w:p w14:paraId="44F14B53">
      <w:pPr>
        <w:spacing w:line="480" w:lineRule="auto"/>
        <w:jc w:val="center"/>
        <w:rPr>
          <w:rFonts w:hint="eastAsia" w:ascii="Times New Roman" w:hAnsi="Times New Roman" w:eastAsia="黑体" w:cs="黑体"/>
          <w:color w:val="000000"/>
          <w:kern w:val="0"/>
          <w:sz w:val="43"/>
          <w:szCs w:val="43"/>
          <w:lang w:val="en-US" w:eastAsia="zh-CN" w:bidi="ar"/>
        </w:rPr>
      </w:pPr>
      <w:bookmarkStart w:id="0" w:name="_GoBack"/>
      <w:bookmarkEnd w:id="0"/>
    </w:p>
    <w:p w14:paraId="2A54905C">
      <w:pPr>
        <w:spacing w:line="480" w:lineRule="auto"/>
        <w:jc w:val="center"/>
        <w:rPr>
          <w:rFonts w:hint="eastAsia" w:ascii="Times New Roman" w:hAnsi="Times New Roman" w:eastAsia="黑体" w:cs="黑体"/>
          <w:color w:val="000000"/>
          <w:kern w:val="0"/>
          <w:sz w:val="43"/>
          <w:szCs w:val="43"/>
          <w:lang w:val="en-US" w:eastAsia="zh-CN" w:bidi="ar"/>
        </w:rPr>
      </w:pPr>
      <w:r>
        <w:rPr>
          <w:rFonts w:hint="eastAsia" w:ascii="Times New Roman" w:hAnsi="Times New Roman" w:eastAsia="黑体" w:cs="黑体"/>
          <w:color w:val="000000"/>
          <w:kern w:val="0"/>
          <w:sz w:val="43"/>
          <w:szCs w:val="43"/>
          <w:lang w:val="en-US" w:eastAsia="zh-CN" w:bidi="ar"/>
        </w:rPr>
        <w:t>公共管理与人文地理学院2026年推荐优秀</w:t>
      </w:r>
    </w:p>
    <w:p w14:paraId="41202C5C">
      <w:pPr>
        <w:spacing w:line="480" w:lineRule="auto"/>
        <w:jc w:val="center"/>
        <w:rPr>
          <w:rFonts w:hint="default" w:ascii="Times New Roman" w:hAnsi="Times New Roman" w:eastAsia="黑体" w:cs="黑体"/>
          <w:color w:val="000000"/>
          <w:kern w:val="0"/>
          <w:sz w:val="43"/>
          <w:szCs w:val="43"/>
          <w:lang w:val="en-US" w:eastAsia="zh-CN" w:bidi="ar"/>
        </w:rPr>
      </w:pPr>
      <w:r>
        <w:rPr>
          <w:rFonts w:hint="eastAsia" w:ascii="Times New Roman" w:hAnsi="Times New Roman" w:eastAsia="黑体" w:cs="黑体"/>
          <w:color w:val="000000"/>
          <w:kern w:val="0"/>
          <w:sz w:val="43"/>
          <w:szCs w:val="43"/>
          <w:lang w:val="en-US" w:eastAsia="zh-CN" w:bidi="ar"/>
        </w:rPr>
        <w:t>应届本科毕业生免试攻读</w:t>
      </w:r>
      <w:r>
        <w:rPr>
          <w:rFonts w:hint="default" w:ascii="Times New Roman" w:hAnsi="Times New Roman" w:eastAsia="黑体" w:cs="黑体"/>
          <w:color w:val="000000"/>
          <w:kern w:val="0"/>
          <w:sz w:val="43"/>
          <w:szCs w:val="43"/>
          <w:lang w:val="en-US" w:eastAsia="zh-CN" w:bidi="ar"/>
        </w:rPr>
        <w:t>硕士学位研究生</w:t>
      </w:r>
    </w:p>
    <w:p w14:paraId="42611B23">
      <w:pPr>
        <w:spacing w:line="480" w:lineRule="auto"/>
        <w:jc w:val="center"/>
        <w:rPr>
          <w:rFonts w:hint="eastAsia" w:ascii="Times New Roman" w:hAnsi="Times New Roman" w:eastAsia="黑体" w:cs="黑体"/>
          <w:color w:val="000000"/>
          <w:kern w:val="0"/>
          <w:sz w:val="43"/>
          <w:szCs w:val="43"/>
          <w:lang w:val="en-US" w:eastAsia="zh-CN" w:bidi="ar"/>
        </w:rPr>
      </w:pPr>
      <w:r>
        <w:rPr>
          <w:rFonts w:hint="eastAsia" w:ascii="Times New Roman" w:hAnsi="Times New Roman" w:eastAsia="黑体" w:cs="黑体"/>
          <w:color w:val="000000"/>
          <w:kern w:val="0"/>
          <w:sz w:val="43"/>
          <w:szCs w:val="43"/>
          <w:lang w:val="en-US" w:eastAsia="zh-CN" w:bidi="ar"/>
        </w:rPr>
        <w:t>实施细则</w:t>
      </w:r>
    </w:p>
    <w:p w14:paraId="5DA5D2FD">
      <w:pPr>
        <w:spacing w:line="480" w:lineRule="auto"/>
        <w:jc w:val="center"/>
        <w:rPr>
          <w:rFonts w:hint="eastAsia" w:ascii="Times New Roman" w:hAnsi="Times New Roman" w:eastAsia="黑体" w:cs="黑体"/>
          <w:color w:val="000000"/>
          <w:kern w:val="0"/>
          <w:sz w:val="43"/>
          <w:szCs w:val="43"/>
          <w:lang w:val="en-US" w:eastAsia="zh-CN" w:bidi="ar"/>
        </w:rPr>
      </w:pPr>
    </w:p>
    <w:p w14:paraId="518CB664">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经学院学术委员会讨论，学院党政联席会议审议通过。根据学院实际情况，特制订《公共管理与人文地理学院2026年推荐优秀应届本科毕业生免试攻读</w:t>
      </w:r>
      <w:r>
        <w:rPr>
          <w:rFonts w:hint="default" w:ascii="Times New Roman" w:hAnsi="Times New Roman" w:eastAsia="仿宋_GB2312" w:cs="仿宋_GB2312"/>
          <w:color w:val="000000"/>
          <w:kern w:val="0"/>
          <w:sz w:val="28"/>
          <w:szCs w:val="28"/>
          <w:lang w:val="en-US" w:eastAsia="zh-CN" w:bidi="ar"/>
        </w:rPr>
        <w:t>硕士学位研究生</w:t>
      </w:r>
      <w:r>
        <w:rPr>
          <w:rFonts w:hint="eastAsia" w:ascii="Times New Roman" w:hAnsi="Times New Roman" w:eastAsia="仿宋_GB2312" w:cs="仿宋_GB2312"/>
          <w:color w:val="000000"/>
          <w:kern w:val="0"/>
          <w:sz w:val="28"/>
          <w:szCs w:val="28"/>
          <w:lang w:val="en-US" w:eastAsia="zh-CN" w:bidi="ar"/>
        </w:rPr>
        <w:t>实施细则》。学院对申请推免的学生进行综合评价，推免生遴选综合成绩由学业成绩（满分100分）和学术专长成绩（满分100分）以及综合素质评价成绩（满分10分）相加组成。综合成绩满分210分。</w:t>
      </w:r>
    </w:p>
    <w:p w14:paraId="15FBDBE7">
      <w:pPr>
        <w:keepNext w:val="0"/>
        <w:keepLines w:val="0"/>
        <w:widowControl/>
        <w:suppressLineNumbers w:val="0"/>
        <w:jc w:val="both"/>
        <w:rPr>
          <w:rFonts w:hint="eastAsia" w:ascii="Times New Roman" w:hAnsi="Times New Roman" w:eastAsia="黑体" w:cs="黑体"/>
          <w:color w:val="000000"/>
          <w:kern w:val="0"/>
          <w:sz w:val="30"/>
          <w:szCs w:val="30"/>
          <w:lang w:val="en-US" w:eastAsia="zh-CN" w:bidi="ar"/>
        </w:rPr>
      </w:pPr>
      <w:r>
        <w:rPr>
          <w:rFonts w:hint="eastAsia" w:ascii="Times New Roman" w:hAnsi="Times New Roman" w:eastAsia="黑体" w:cs="黑体"/>
          <w:color w:val="000000"/>
          <w:kern w:val="0"/>
          <w:sz w:val="30"/>
          <w:szCs w:val="30"/>
          <w:lang w:val="en-US" w:eastAsia="zh-CN" w:bidi="ar"/>
        </w:rPr>
        <w:t>一、推免生推荐条件</w:t>
      </w:r>
    </w:p>
    <w:p w14:paraId="4B74C3B1">
      <w:pPr>
        <w:spacing w:line="560" w:lineRule="exact"/>
        <w:ind w:left="1679" w:leftChars="266" w:hanging="1120" w:hangingChars="400"/>
        <w:rPr>
          <w:rFonts w:hint="eastAsia" w:ascii="仿宋" w:hAnsi="仿宋" w:eastAsia="仿宋"/>
          <w:color w:val="000000"/>
          <w:sz w:val="28"/>
          <w:szCs w:val="28"/>
        </w:rPr>
      </w:pPr>
      <w:r>
        <w:rPr>
          <w:rFonts w:hint="eastAsia" w:ascii="仿宋" w:hAnsi="仿宋" w:eastAsia="仿宋"/>
          <w:color w:val="000000"/>
          <w:sz w:val="28"/>
          <w:szCs w:val="28"/>
        </w:rPr>
        <w:t>(一)必备条件</w:t>
      </w:r>
    </w:p>
    <w:p w14:paraId="504C4BF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1.纳入国家普通本科招生计划录取的应届生，不含专升本学生。</w:t>
      </w:r>
    </w:p>
    <w:p w14:paraId="40C2319A">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2.热爱祖国，拥护中国共产党的领导，社会责任感强，积极向上，身心健康，遵纪守法，文明自律，立志为社会主义现代化建设服务。</w:t>
      </w:r>
    </w:p>
    <w:p w14:paraId="345BDA8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3.诚实守信，学风端正，无任何考试作弊和剽窃他人学术成果记录；品行表现优良，无任何违法违纪受处分记录。</w:t>
      </w:r>
    </w:p>
    <w:p w14:paraId="34F312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4.非外语类专业学生取得大学英语四级考试425分及以上；外语类专业学生通过专业四级考试。</w:t>
      </w:r>
    </w:p>
    <w:p w14:paraId="77942F42">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(二)学业成绩入围条件</w:t>
      </w:r>
    </w:p>
    <w:p w14:paraId="1638B4C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前三年所修全部课程的平均学分绩点排名（首考成绩），在专业年级前30%。</w:t>
      </w:r>
    </w:p>
    <w:p w14:paraId="747593F1">
      <w:pPr>
        <w:keepNext w:val="0"/>
        <w:keepLines w:val="0"/>
        <w:widowControl/>
        <w:suppressLineNumbers w:val="0"/>
        <w:jc w:val="both"/>
        <w:rPr>
          <w:rFonts w:hint="eastAsia" w:ascii="Times New Roman" w:hAnsi="Times New Roman" w:eastAsia="黑体" w:cs="黑体"/>
          <w:color w:val="000000"/>
          <w:kern w:val="0"/>
          <w:sz w:val="30"/>
          <w:szCs w:val="30"/>
          <w:lang w:val="en-US" w:eastAsia="zh-CN" w:bidi="ar"/>
        </w:rPr>
      </w:pPr>
      <w:r>
        <w:rPr>
          <w:rFonts w:hint="eastAsia" w:ascii="Times New Roman" w:hAnsi="Times New Roman" w:eastAsia="黑体" w:cs="黑体"/>
          <w:color w:val="000000"/>
          <w:kern w:val="0"/>
          <w:sz w:val="30"/>
          <w:szCs w:val="30"/>
          <w:lang w:val="en-US" w:eastAsia="zh-CN" w:bidi="ar"/>
        </w:rPr>
        <w:t>二、推免生选拔工作流程</w:t>
      </w:r>
    </w:p>
    <w:p w14:paraId="0EE50089">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1.按照《湖南工商大学推荐优秀应届本科毕业生免试攻读硕士学位研究生工作管理办法》要求，学院成立推免生遴选工作领导小组，制订推免生推荐实施办法，并提交至本科生院审核备案；</w:t>
      </w:r>
    </w:p>
    <w:p w14:paraId="24D395A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2.向学生公布推免生推荐实施办法及推免生指标分配计划；</w:t>
      </w:r>
    </w:p>
    <w:p w14:paraId="23A0DFF7">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3.进行推免生选拔，择优确定推免生名单。推免生名单（本校教职工特别是领导干部子女获得推免资格的必须专门标注）、回避报备声明以及通过审核的特殊学术专长应在本单位网站公示；</w:t>
      </w:r>
    </w:p>
    <w:p w14:paraId="65A8ABC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4.依据教育部“全国推荐优秀应届本科毕业生免试攻读研究生信息公开暨管理服务系统”（下称推免服务系统）要求填报推免生资格审核表，表单格式及基础数据由本科生院提供；</w:t>
      </w:r>
    </w:p>
    <w:p w14:paraId="0AA8257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5.上报推免生资格审核表、推免生成绩单、推免生成绩排名和奖励加分明细等材料（包括纸质档和电子档）到本科生院；</w:t>
      </w:r>
    </w:p>
    <w:p w14:paraId="17C85AA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6.本科生院严格审核推荐单位提交的各项材料，向学校推免生遴选工作领导小组提交拟推荐免试攻读研究生的2026届本科毕业生名单。经领导小组审议通过后，</w:t>
      </w:r>
      <w:r>
        <w:rPr>
          <w:rFonts w:hint="eastAsia" w:ascii="仿宋" w:hAnsi="仿宋" w:eastAsia="仿宋"/>
          <w:color w:val="000000"/>
          <w:sz w:val="28"/>
          <w:szCs w:val="28"/>
          <w:lang w:val="en-US" w:eastAsia="zh-CN"/>
        </w:rPr>
        <w:t>进行</w:t>
      </w:r>
      <w:r>
        <w:rPr>
          <w:rFonts w:hint="eastAsia" w:ascii="仿宋" w:hAnsi="仿宋" w:eastAsia="仿宋"/>
          <w:color w:val="000000"/>
          <w:sz w:val="28"/>
          <w:szCs w:val="28"/>
        </w:rPr>
        <w:t>公示，公示时间为10个工作日；</w:t>
      </w:r>
    </w:p>
    <w:p w14:paraId="24A7878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7.本科生院向教育部推免服务系统上报2026年我校推免生名单；</w:t>
      </w:r>
    </w:p>
    <w:p w14:paraId="7F6F8C11">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8.获得推免资格的学生须前往校医院或二级甲等以上医院体检（具体安排另行通知）。</w:t>
      </w:r>
    </w:p>
    <w:p w14:paraId="6307BD5B">
      <w:pPr>
        <w:keepNext w:val="0"/>
        <w:keepLines w:val="0"/>
        <w:widowControl/>
        <w:suppressLineNumbers w:val="0"/>
        <w:jc w:val="both"/>
        <w:rPr>
          <w:rFonts w:hint="default" w:ascii="Times New Roman" w:hAnsi="Times New Roman" w:eastAsia="黑体" w:cs="黑体"/>
          <w:color w:val="000000"/>
          <w:kern w:val="0"/>
          <w:sz w:val="30"/>
          <w:szCs w:val="30"/>
          <w:lang w:val="en-US" w:eastAsia="zh-CN" w:bidi="ar"/>
        </w:rPr>
      </w:pPr>
      <w:r>
        <w:rPr>
          <w:rFonts w:hint="eastAsia" w:ascii="Times New Roman" w:hAnsi="Times New Roman" w:eastAsia="黑体" w:cs="黑体"/>
          <w:color w:val="000000"/>
          <w:kern w:val="0"/>
          <w:sz w:val="30"/>
          <w:szCs w:val="30"/>
          <w:lang w:val="en-US" w:eastAsia="zh-CN" w:bidi="ar"/>
        </w:rPr>
        <w:t>三、</w:t>
      </w:r>
      <w:r>
        <w:rPr>
          <w:rFonts w:hint="default" w:ascii="Times New Roman" w:hAnsi="Times New Roman" w:eastAsia="黑体" w:cs="黑体"/>
          <w:color w:val="000000"/>
          <w:kern w:val="0"/>
          <w:sz w:val="30"/>
          <w:szCs w:val="30"/>
          <w:lang w:val="en-US" w:eastAsia="zh-CN" w:bidi="ar"/>
        </w:rPr>
        <w:t>学术专长成绩</w:t>
      </w:r>
      <w:r>
        <w:rPr>
          <w:rFonts w:hint="eastAsia" w:ascii="Times New Roman" w:hAnsi="Times New Roman" w:eastAsia="黑体" w:cs="黑体"/>
          <w:color w:val="000000"/>
          <w:kern w:val="0"/>
          <w:sz w:val="30"/>
          <w:szCs w:val="30"/>
          <w:lang w:val="en-US" w:eastAsia="zh-CN" w:bidi="ar"/>
        </w:rPr>
        <w:t>和综合素质评价</w:t>
      </w:r>
      <w:r>
        <w:rPr>
          <w:rFonts w:hint="default" w:ascii="Times New Roman" w:hAnsi="Times New Roman" w:eastAsia="黑体" w:cs="黑体"/>
          <w:color w:val="000000"/>
          <w:kern w:val="0"/>
          <w:sz w:val="30"/>
          <w:szCs w:val="30"/>
          <w:lang w:val="en-US" w:eastAsia="zh-CN" w:bidi="ar"/>
        </w:rPr>
        <w:t>认定</w:t>
      </w:r>
    </w:p>
    <w:p w14:paraId="7C75EEB9">
      <w:pPr>
        <w:keepNext w:val="0"/>
        <w:keepLines w:val="0"/>
        <w:widowControl/>
        <w:suppressLineNumbers w:val="0"/>
        <w:ind w:firstLine="560" w:firstLineChars="200"/>
        <w:jc w:val="both"/>
        <w:rPr>
          <w:rFonts w:hint="eastAsia" w:ascii="仿宋" w:hAnsi="仿宋" w:eastAsia="仿宋"/>
          <w:color w:val="000000"/>
          <w:sz w:val="28"/>
          <w:szCs w:val="28"/>
          <w:lang w:val="en-US" w:eastAsia="zh-CN"/>
        </w:rPr>
      </w:pPr>
      <w:r>
        <w:rPr>
          <w:rFonts w:hint="eastAsia" w:ascii="Times New Roman" w:hAnsi="Times New Roman" w:eastAsia="仿宋_GB2312" w:cs="仿宋_GB2312"/>
          <w:color w:val="000000"/>
          <w:kern w:val="0"/>
          <w:sz w:val="28"/>
          <w:szCs w:val="28"/>
          <w:lang w:val="en-US" w:eastAsia="zh-CN" w:bidi="ar"/>
        </w:rPr>
        <w:t>所有参与推免生测评、奖励、荣</w:t>
      </w:r>
      <w:r>
        <w:rPr>
          <w:rFonts w:hint="eastAsia" w:ascii="Times New Roman" w:hAnsi="Times New Roman" w:eastAsia="仿宋_GB2312" w:cs="仿宋_GB2312"/>
          <w:color w:val="000000" w:themeColor="text1"/>
          <w:kern w:val="0"/>
          <w:sz w:val="28"/>
          <w:szCs w:val="28"/>
          <w:lang w:val="en-US" w:eastAsia="zh-CN" w:bidi="ar"/>
          <w14:textFill>
            <w14:solidFill>
              <w14:schemeClr w14:val="tx1"/>
            </w14:solidFill>
          </w14:textFill>
        </w:rPr>
        <w:t>誉、发明、专利、论文、著作、竞赛等认定，证书或公示等证明材料截止日期为当年7月31日。</w:t>
      </w:r>
    </w:p>
    <w:p w14:paraId="627A5B26">
      <w:pPr>
        <w:keepNext w:val="0"/>
        <w:keepLines w:val="0"/>
        <w:widowControl/>
        <w:suppressLineNumbers w:val="0"/>
        <w:ind w:firstLine="600" w:firstLineChars="200"/>
        <w:jc w:val="both"/>
        <w:rPr>
          <w:rFonts w:ascii="Times New Roman" w:hAnsi="Times New Roman" w:eastAsia="黑体" w:cs="黑体"/>
          <w:color w:val="000000"/>
          <w:kern w:val="0"/>
          <w:sz w:val="30"/>
          <w:szCs w:val="30"/>
          <w:lang w:val="en-US" w:eastAsia="zh-CN" w:bidi="ar"/>
        </w:rPr>
      </w:pPr>
      <w:r>
        <w:rPr>
          <w:rFonts w:hint="eastAsia" w:ascii="Times New Roman" w:hAnsi="Times New Roman" w:eastAsia="黑体" w:cs="黑体"/>
          <w:color w:val="000000"/>
          <w:kern w:val="0"/>
          <w:sz w:val="30"/>
          <w:szCs w:val="30"/>
          <w:lang w:val="en-US" w:eastAsia="zh-CN" w:bidi="ar"/>
        </w:rPr>
        <w:t>（一）学术专长成绩认定标准</w:t>
      </w:r>
      <w:r>
        <w:rPr>
          <w:rFonts w:ascii="Times New Roman" w:hAnsi="Times New Roman" w:eastAsia="黑体" w:cs="黑体"/>
          <w:color w:val="000000"/>
          <w:kern w:val="0"/>
          <w:sz w:val="30"/>
          <w:szCs w:val="30"/>
          <w:lang w:val="en-US" w:eastAsia="zh-CN" w:bidi="ar"/>
        </w:rPr>
        <w:t xml:space="preserve"> </w:t>
      </w:r>
    </w:p>
    <w:p w14:paraId="6F825ED3">
      <w:pPr>
        <w:keepNext w:val="0"/>
        <w:keepLines w:val="0"/>
        <w:widowControl/>
        <w:suppressLineNumbers w:val="0"/>
        <w:ind w:firstLine="560" w:firstLineChars="200"/>
        <w:jc w:val="both"/>
        <w:rPr>
          <w:rFonts w:hint="eastAsia" w:ascii="Times New Roman" w:hAnsi="Times New Roman" w:eastAsia="仿宋_GB2312" w:cs="仿宋_GB2312"/>
          <w:color w:val="000000" w:themeColor="text1"/>
          <w:kern w:val="0"/>
          <w:sz w:val="28"/>
          <w:szCs w:val="28"/>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28"/>
          <w:szCs w:val="28"/>
          <w:lang w:val="en-US" w:eastAsia="zh-CN" w:bidi="ar"/>
          <w14:textFill>
            <w14:solidFill>
              <w14:schemeClr w14:val="tx1"/>
            </w14:solidFill>
          </w14:textFill>
        </w:rPr>
        <w:t xml:space="preserve">学术专长成绩认定范围包括科研论文和学科竞赛获奖，各部分成绩可累加，总分不超过100分（成果以正式发表的论文、获奖证书或官方文件为依据，截止时间为当年7月31日）。 </w:t>
      </w:r>
    </w:p>
    <w:p w14:paraId="4ECE1009">
      <w:pPr>
        <w:keepNext w:val="0"/>
        <w:keepLines w:val="0"/>
        <w:widowControl/>
        <w:suppressLineNumbers w:val="0"/>
        <w:ind w:firstLine="560" w:firstLineChars="200"/>
        <w:jc w:val="both"/>
        <w:rPr>
          <w:rFonts w:hint="default"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学生与其亲属或其他利益相关者合作的科研成果、竞赛奖项等仅作为参考，原则上不纳入学生本人推免遴选综合评价成绩计算体系。</w:t>
      </w:r>
    </w:p>
    <w:p w14:paraId="5C917E31">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 xml:space="preserve">1.科研论文成果（专业相关） </w:t>
      </w:r>
    </w:p>
    <w:p w14:paraId="75097D2C">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 xml:space="preserve">学术论文必须为学生本科阶段在高水平期刊上，以独立作者或者第一作者发表，或与指导老师联合发表（仅限指导老师作为第一作者，学生作为第二作者的情况）的与学业相关的科研论文；按照学校科研论文成果认定标准（对应年度文件公开公布目录）执行，成果要求以湖南工商大学为第一署名单位。学校将严格查处任何形式的学术不端行为。 </w:t>
      </w:r>
    </w:p>
    <w:p w14:paraId="7E62A3E8">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表1 科研创新成果认定范围及业绩分标准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360"/>
        <w:gridCol w:w="2841"/>
      </w:tblGrid>
      <w:tr w14:paraId="37AB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21" w:type="dxa"/>
            <w:vAlign w:val="center"/>
          </w:tcPr>
          <w:p w14:paraId="09A4EA28">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类型</w:t>
            </w:r>
          </w:p>
        </w:tc>
        <w:tc>
          <w:tcPr>
            <w:tcW w:w="3360" w:type="dxa"/>
            <w:vAlign w:val="center"/>
          </w:tcPr>
          <w:p w14:paraId="79598DFC">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内容或等级</w:t>
            </w:r>
          </w:p>
        </w:tc>
        <w:tc>
          <w:tcPr>
            <w:tcW w:w="2841" w:type="dxa"/>
            <w:vAlign w:val="center"/>
          </w:tcPr>
          <w:p w14:paraId="0B2C6609">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业绩分</w:t>
            </w:r>
          </w:p>
        </w:tc>
      </w:tr>
      <w:tr w14:paraId="5D9F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restart"/>
            <w:vAlign w:val="center"/>
          </w:tcPr>
          <w:p w14:paraId="6C60D0B7">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公开发表学术论文</w:t>
            </w:r>
          </w:p>
        </w:tc>
        <w:tc>
          <w:tcPr>
            <w:tcW w:w="3360" w:type="dxa"/>
            <w:vAlign w:val="center"/>
          </w:tcPr>
          <w:p w14:paraId="42210433">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中文A+级论文、外文A+级论文</w:t>
            </w:r>
          </w:p>
        </w:tc>
        <w:tc>
          <w:tcPr>
            <w:tcW w:w="2841" w:type="dxa"/>
            <w:vAlign w:val="center"/>
          </w:tcPr>
          <w:p w14:paraId="75EECBDC">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30</w:t>
            </w:r>
          </w:p>
        </w:tc>
      </w:tr>
      <w:tr w14:paraId="02B4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14:paraId="59A55E1E">
            <w:pPr>
              <w:spacing w:line="360" w:lineRule="auto"/>
              <w:jc w:val="center"/>
              <w:rPr>
                <w:rFonts w:hint="eastAsia" w:ascii="Times New Roman" w:hAnsi="Times New Roman" w:eastAsia="宋体" w:cs="宋体"/>
                <w:b/>
                <w:bCs/>
                <w:sz w:val="24"/>
                <w:szCs w:val="24"/>
                <w:vertAlign w:val="baseline"/>
              </w:rPr>
            </w:pPr>
          </w:p>
        </w:tc>
        <w:tc>
          <w:tcPr>
            <w:tcW w:w="3360" w:type="dxa"/>
            <w:vAlign w:val="center"/>
          </w:tcPr>
          <w:p w14:paraId="4F9DAD78">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中文A级论文、外文A级论文</w:t>
            </w:r>
          </w:p>
        </w:tc>
        <w:tc>
          <w:tcPr>
            <w:tcW w:w="2841" w:type="dxa"/>
            <w:vAlign w:val="center"/>
          </w:tcPr>
          <w:p w14:paraId="10A7C80C">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20</w:t>
            </w:r>
          </w:p>
        </w:tc>
      </w:tr>
      <w:tr w14:paraId="0F5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14:paraId="1A7AC938">
            <w:pPr>
              <w:spacing w:line="360" w:lineRule="auto"/>
              <w:jc w:val="center"/>
              <w:rPr>
                <w:rFonts w:hint="eastAsia" w:ascii="Times New Roman" w:hAnsi="Times New Roman" w:eastAsia="宋体" w:cs="宋体"/>
                <w:b/>
                <w:bCs/>
                <w:sz w:val="24"/>
                <w:szCs w:val="24"/>
                <w:vertAlign w:val="baseline"/>
              </w:rPr>
            </w:pPr>
          </w:p>
        </w:tc>
        <w:tc>
          <w:tcPr>
            <w:tcW w:w="3360" w:type="dxa"/>
            <w:vAlign w:val="center"/>
          </w:tcPr>
          <w:p w14:paraId="07F48999">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中文A-级论文、外文A-级论文</w:t>
            </w:r>
          </w:p>
        </w:tc>
        <w:tc>
          <w:tcPr>
            <w:tcW w:w="2841" w:type="dxa"/>
            <w:vAlign w:val="center"/>
          </w:tcPr>
          <w:p w14:paraId="472C0F47">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15</w:t>
            </w:r>
          </w:p>
        </w:tc>
      </w:tr>
      <w:tr w14:paraId="3F86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14:paraId="390406BA">
            <w:pPr>
              <w:spacing w:line="360" w:lineRule="auto"/>
              <w:jc w:val="center"/>
              <w:rPr>
                <w:rFonts w:hint="eastAsia" w:ascii="Times New Roman" w:hAnsi="Times New Roman" w:eastAsia="宋体" w:cs="宋体"/>
                <w:b/>
                <w:bCs/>
                <w:sz w:val="24"/>
                <w:szCs w:val="24"/>
                <w:vertAlign w:val="baseline"/>
              </w:rPr>
            </w:pPr>
          </w:p>
        </w:tc>
        <w:tc>
          <w:tcPr>
            <w:tcW w:w="3360" w:type="dxa"/>
            <w:vAlign w:val="center"/>
          </w:tcPr>
          <w:p w14:paraId="439BBBAA">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收录至SCI/SSCI论文</w:t>
            </w:r>
          </w:p>
        </w:tc>
        <w:tc>
          <w:tcPr>
            <w:tcW w:w="2841" w:type="dxa"/>
            <w:vAlign w:val="center"/>
          </w:tcPr>
          <w:p w14:paraId="58F534FA">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5</w:t>
            </w:r>
          </w:p>
        </w:tc>
      </w:tr>
      <w:tr w14:paraId="0BB3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Merge w:val="continue"/>
            <w:vAlign w:val="center"/>
          </w:tcPr>
          <w:p w14:paraId="0924DEBE">
            <w:pPr>
              <w:spacing w:line="360" w:lineRule="auto"/>
              <w:jc w:val="center"/>
              <w:rPr>
                <w:rFonts w:hint="eastAsia" w:ascii="Times New Roman" w:hAnsi="Times New Roman" w:eastAsia="宋体" w:cs="宋体"/>
                <w:b/>
                <w:bCs/>
                <w:sz w:val="24"/>
                <w:szCs w:val="24"/>
                <w:vertAlign w:val="baseline"/>
              </w:rPr>
            </w:pPr>
          </w:p>
        </w:tc>
        <w:tc>
          <w:tcPr>
            <w:tcW w:w="3360" w:type="dxa"/>
            <w:vAlign w:val="center"/>
          </w:tcPr>
          <w:p w14:paraId="2B41B4B4">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收录至CSSCI/CSCD论文</w:t>
            </w:r>
          </w:p>
        </w:tc>
        <w:tc>
          <w:tcPr>
            <w:tcW w:w="2841" w:type="dxa"/>
            <w:vAlign w:val="center"/>
          </w:tcPr>
          <w:p w14:paraId="11A532FB">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3</w:t>
            </w:r>
          </w:p>
        </w:tc>
      </w:tr>
    </w:tbl>
    <w:p w14:paraId="32E410B7">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 xml:space="preserve">2.学科竞赛获奖 </w:t>
      </w:r>
    </w:p>
    <w:p w14:paraId="0715AA5F">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 xml:space="preserve">（1）学科竞赛主要包括教育行政主管部门、学会或行业协会主办并经过学校认定的国家级学科竞赛，竞赛分类按教育主管部门对应学年公布的学科竞赛目录执行。 </w:t>
      </w:r>
    </w:p>
    <w:p w14:paraId="3B47F7B1">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 xml:space="preserve">（2）必须为学生本科阶段独立参加或作为主力成员参加与学业相关的国内权威竞赛（仅限于全国赛）并获得三等奖及以上奖励；对于国际赛事参照执行，不得低于国内赛事相关的标准和要求。 </w:t>
      </w:r>
    </w:p>
    <w:p w14:paraId="2C782DA7">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 xml:space="preserve">（3）如有多位作者（有效名次为前五），则分别计分：第一作者按满额业绩分计算，第二、三作者按照 50%计算，第四、五作者按照 25%计算；如前有我校教师署名，学生署名排序依次前移。 </w:t>
      </w:r>
    </w:p>
    <w:p w14:paraId="3BFF060D">
      <w:pPr>
        <w:spacing w:line="360" w:lineRule="auto"/>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表2 学科竞赛获奖认定范围及业绩分标准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56F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5861312">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项目类别</w:t>
            </w:r>
          </w:p>
        </w:tc>
        <w:tc>
          <w:tcPr>
            <w:tcW w:w="2841" w:type="dxa"/>
            <w:vAlign w:val="center"/>
          </w:tcPr>
          <w:p w14:paraId="62348D4A">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内容或等级</w:t>
            </w:r>
          </w:p>
        </w:tc>
        <w:tc>
          <w:tcPr>
            <w:tcW w:w="2841" w:type="dxa"/>
            <w:vAlign w:val="center"/>
          </w:tcPr>
          <w:p w14:paraId="501CD7E2">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b/>
                <w:bCs/>
                <w:sz w:val="24"/>
                <w:szCs w:val="24"/>
              </w:rPr>
              <w:t>业绩分</w:t>
            </w:r>
          </w:p>
        </w:tc>
      </w:tr>
      <w:tr w14:paraId="53A5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5A7DDCC1">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A类学科竞赛</w:t>
            </w:r>
          </w:p>
        </w:tc>
        <w:tc>
          <w:tcPr>
            <w:tcW w:w="2841" w:type="dxa"/>
            <w:vAlign w:val="center"/>
          </w:tcPr>
          <w:p w14:paraId="76D6E50F">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国家级一等奖</w:t>
            </w:r>
          </w:p>
        </w:tc>
        <w:tc>
          <w:tcPr>
            <w:tcW w:w="2841" w:type="dxa"/>
            <w:vAlign w:val="center"/>
          </w:tcPr>
          <w:p w14:paraId="0792845D">
            <w:pPr>
              <w:spacing w:line="360" w:lineRule="auto"/>
              <w:jc w:val="center"/>
              <w:rPr>
                <w:rFonts w:hint="default"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15</w:t>
            </w:r>
          </w:p>
        </w:tc>
      </w:tr>
      <w:tr w14:paraId="7A55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699C1A91">
            <w:pPr>
              <w:spacing w:line="360" w:lineRule="auto"/>
              <w:jc w:val="center"/>
              <w:rPr>
                <w:rFonts w:hint="eastAsia" w:ascii="Times New Roman" w:hAnsi="Times New Roman" w:eastAsia="宋体" w:cs="宋体"/>
                <w:b/>
                <w:bCs/>
                <w:sz w:val="24"/>
                <w:szCs w:val="24"/>
                <w:vertAlign w:val="baseline"/>
              </w:rPr>
            </w:pPr>
          </w:p>
        </w:tc>
        <w:tc>
          <w:tcPr>
            <w:tcW w:w="2841" w:type="dxa"/>
            <w:vAlign w:val="center"/>
          </w:tcPr>
          <w:p w14:paraId="566ED0F5">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国家级二等奖</w:t>
            </w:r>
          </w:p>
        </w:tc>
        <w:tc>
          <w:tcPr>
            <w:tcW w:w="2841" w:type="dxa"/>
            <w:vAlign w:val="center"/>
          </w:tcPr>
          <w:p w14:paraId="79288C06">
            <w:pPr>
              <w:spacing w:line="360" w:lineRule="auto"/>
              <w:jc w:val="center"/>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8</w:t>
            </w:r>
          </w:p>
        </w:tc>
      </w:tr>
      <w:tr w14:paraId="0C86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E2ECB7F">
            <w:pPr>
              <w:spacing w:line="360" w:lineRule="auto"/>
              <w:jc w:val="center"/>
              <w:rPr>
                <w:rFonts w:hint="eastAsia" w:ascii="Times New Roman" w:hAnsi="Times New Roman" w:eastAsia="宋体" w:cs="宋体"/>
                <w:b/>
                <w:bCs/>
                <w:sz w:val="24"/>
                <w:szCs w:val="24"/>
                <w:vertAlign w:val="baseline"/>
              </w:rPr>
            </w:pPr>
          </w:p>
        </w:tc>
        <w:tc>
          <w:tcPr>
            <w:tcW w:w="2841" w:type="dxa"/>
            <w:vAlign w:val="center"/>
          </w:tcPr>
          <w:p w14:paraId="0DC47495">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国家级三等奖</w:t>
            </w:r>
          </w:p>
        </w:tc>
        <w:tc>
          <w:tcPr>
            <w:tcW w:w="2841" w:type="dxa"/>
            <w:vAlign w:val="center"/>
          </w:tcPr>
          <w:p w14:paraId="04262789">
            <w:pPr>
              <w:spacing w:line="360" w:lineRule="auto"/>
              <w:jc w:val="center"/>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6</w:t>
            </w:r>
          </w:p>
        </w:tc>
      </w:tr>
      <w:tr w14:paraId="3E7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4F75BE53">
            <w:pPr>
              <w:spacing w:line="360" w:lineRule="auto"/>
              <w:jc w:val="center"/>
              <w:rPr>
                <w:rFonts w:hint="eastAsia" w:ascii="Times New Roman" w:hAnsi="Times New Roman" w:eastAsia="宋体" w:cs="宋体"/>
                <w:b/>
                <w:bCs/>
                <w:sz w:val="24"/>
                <w:szCs w:val="24"/>
                <w:vertAlign w:val="baseline"/>
              </w:rPr>
            </w:pPr>
            <w:r>
              <w:rPr>
                <w:rFonts w:hint="eastAsia" w:ascii="Times New Roman" w:hAnsi="Times New Roman" w:eastAsia="宋体" w:cs="宋体"/>
                <w:sz w:val="24"/>
                <w:szCs w:val="24"/>
              </w:rPr>
              <w:t>B类学科竞赛</w:t>
            </w:r>
          </w:p>
        </w:tc>
        <w:tc>
          <w:tcPr>
            <w:tcW w:w="2841" w:type="dxa"/>
            <w:shd w:val="clear" w:color="auto" w:fill="auto"/>
            <w:vAlign w:val="center"/>
          </w:tcPr>
          <w:p w14:paraId="6AA731EB">
            <w:pPr>
              <w:spacing w:line="360" w:lineRule="auto"/>
              <w:jc w:val="center"/>
              <w:rPr>
                <w:rFonts w:hint="eastAsia" w:ascii="Times New Roman" w:hAnsi="Times New Roman" w:eastAsia="宋体" w:cs="宋体"/>
                <w:b/>
                <w:bCs/>
                <w:kern w:val="2"/>
                <w:sz w:val="24"/>
                <w:szCs w:val="24"/>
                <w:vertAlign w:val="baseline"/>
                <w:lang w:val="en-US" w:eastAsia="zh-CN" w:bidi="ar-SA"/>
              </w:rPr>
            </w:pPr>
            <w:r>
              <w:rPr>
                <w:rFonts w:hint="eastAsia" w:ascii="Times New Roman" w:hAnsi="Times New Roman" w:eastAsia="宋体" w:cs="宋体"/>
                <w:sz w:val="24"/>
                <w:szCs w:val="24"/>
              </w:rPr>
              <w:t>国家级一等奖</w:t>
            </w:r>
          </w:p>
        </w:tc>
        <w:tc>
          <w:tcPr>
            <w:tcW w:w="2841" w:type="dxa"/>
            <w:vAlign w:val="center"/>
          </w:tcPr>
          <w:p w14:paraId="7730B744">
            <w:pPr>
              <w:spacing w:line="360" w:lineRule="auto"/>
              <w:jc w:val="center"/>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8</w:t>
            </w:r>
          </w:p>
        </w:tc>
      </w:tr>
      <w:tr w14:paraId="13C3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D3C398C">
            <w:pPr>
              <w:spacing w:line="360" w:lineRule="auto"/>
              <w:jc w:val="center"/>
              <w:rPr>
                <w:rFonts w:hint="eastAsia" w:ascii="Times New Roman" w:hAnsi="Times New Roman" w:eastAsia="宋体" w:cs="宋体"/>
                <w:b/>
                <w:bCs/>
                <w:sz w:val="24"/>
                <w:szCs w:val="24"/>
                <w:vertAlign w:val="baseline"/>
              </w:rPr>
            </w:pPr>
          </w:p>
        </w:tc>
        <w:tc>
          <w:tcPr>
            <w:tcW w:w="2841" w:type="dxa"/>
            <w:shd w:val="clear" w:color="auto" w:fill="auto"/>
            <w:vAlign w:val="center"/>
          </w:tcPr>
          <w:p w14:paraId="7D9491D9">
            <w:pPr>
              <w:spacing w:line="360" w:lineRule="auto"/>
              <w:jc w:val="center"/>
              <w:rPr>
                <w:rFonts w:hint="eastAsia" w:ascii="Times New Roman" w:hAnsi="Times New Roman" w:eastAsia="宋体" w:cs="宋体"/>
                <w:b/>
                <w:bCs/>
                <w:kern w:val="2"/>
                <w:sz w:val="24"/>
                <w:szCs w:val="24"/>
                <w:vertAlign w:val="baseline"/>
                <w:lang w:val="en-US" w:eastAsia="zh-CN" w:bidi="ar-SA"/>
              </w:rPr>
            </w:pPr>
            <w:r>
              <w:rPr>
                <w:rFonts w:hint="eastAsia" w:ascii="Times New Roman" w:hAnsi="Times New Roman" w:eastAsia="宋体" w:cs="宋体"/>
                <w:sz w:val="24"/>
                <w:szCs w:val="24"/>
              </w:rPr>
              <w:t>国家级二等奖</w:t>
            </w:r>
          </w:p>
        </w:tc>
        <w:tc>
          <w:tcPr>
            <w:tcW w:w="2841" w:type="dxa"/>
            <w:vAlign w:val="center"/>
          </w:tcPr>
          <w:p w14:paraId="2BDA2934">
            <w:pPr>
              <w:spacing w:line="360" w:lineRule="auto"/>
              <w:jc w:val="center"/>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6</w:t>
            </w:r>
          </w:p>
        </w:tc>
      </w:tr>
      <w:tr w14:paraId="38FC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2077C513">
            <w:pPr>
              <w:spacing w:line="360" w:lineRule="auto"/>
              <w:jc w:val="center"/>
              <w:rPr>
                <w:rFonts w:hint="eastAsia" w:ascii="Times New Roman" w:hAnsi="Times New Roman" w:eastAsia="宋体" w:cs="宋体"/>
                <w:b/>
                <w:bCs/>
                <w:sz w:val="24"/>
                <w:szCs w:val="24"/>
                <w:vertAlign w:val="baseline"/>
              </w:rPr>
            </w:pPr>
          </w:p>
        </w:tc>
        <w:tc>
          <w:tcPr>
            <w:tcW w:w="2841" w:type="dxa"/>
            <w:shd w:val="clear" w:color="auto" w:fill="auto"/>
            <w:vAlign w:val="center"/>
          </w:tcPr>
          <w:p w14:paraId="263162BE">
            <w:pPr>
              <w:spacing w:line="360" w:lineRule="auto"/>
              <w:jc w:val="center"/>
              <w:rPr>
                <w:rFonts w:hint="eastAsia" w:ascii="Times New Roman" w:hAnsi="Times New Roman" w:eastAsia="宋体" w:cs="宋体"/>
                <w:b/>
                <w:bCs/>
                <w:kern w:val="2"/>
                <w:sz w:val="24"/>
                <w:szCs w:val="24"/>
                <w:vertAlign w:val="baseline"/>
                <w:lang w:val="en-US" w:eastAsia="zh-CN" w:bidi="ar-SA"/>
              </w:rPr>
            </w:pPr>
            <w:r>
              <w:rPr>
                <w:rFonts w:hint="eastAsia" w:ascii="Times New Roman" w:hAnsi="Times New Roman" w:eastAsia="宋体" w:cs="宋体"/>
                <w:sz w:val="24"/>
                <w:szCs w:val="24"/>
              </w:rPr>
              <w:t>国家级三等奖</w:t>
            </w:r>
          </w:p>
        </w:tc>
        <w:tc>
          <w:tcPr>
            <w:tcW w:w="2841" w:type="dxa"/>
            <w:vAlign w:val="center"/>
          </w:tcPr>
          <w:p w14:paraId="132E1F71">
            <w:pPr>
              <w:spacing w:line="360" w:lineRule="auto"/>
              <w:jc w:val="center"/>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3</w:t>
            </w:r>
          </w:p>
        </w:tc>
      </w:tr>
    </w:tbl>
    <w:p w14:paraId="7123BAE0">
      <w:pPr>
        <w:keepNext w:val="0"/>
        <w:keepLines w:val="0"/>
        <w:widowControl/>
        <w:suppressLineNumbers w:val="0"/>
        <w:jc w:val="both"/>
        <w:rPr>
          <w:rFonts w:hint="eastAsia" w:ascii="Times New Roman" w:hAnsi="Times New Roman" w:eastAsia="黑体" w:cs="黑体"/>
          <w:color w:val="000000"/>
          <w:kern w:val="0"/>
          <w:sz w:val="30"/>
          <w:szCs w:val="30"/>
          <w:lang w:val="en-US" w:eastAsia="zh-CN" w:bidi="ar"/>
        </w:rPr>
      </w:pPr>
    </w:p>
    <w:p w14:paraId="2A00573F">
      <w:pPr>
        <w:keepNext w:val="0"/>
        <w:keepLines w:val="0"/>
        <w:widowControl/>
        <w:suppressLineNumbers w:val="0"/>
        <w:ind w:firstLine="600" w:firstLineChars="200"/>
        <w:jc w:val="both"/>
        <w:rPr>
          <w:rFonts w:ascii="Times New Roman" w:hAnsi="Times New Roman" w:eastAsia="黑体" w:cs="黑体"/>
          <w:color w:val="000000"/>
          <w:kern w:val="0"/>
          <w:sz w:val="30"/>
          <w:szCs w:val="30"/>
          <w:lang w:val="en-US" w:eastAsia="zh-CN" w:bidi="ar"/>
        </w:rPr>
      </w:pPr>
      <w:r>
        <w:rPr>
          <w:rFonts w:hint="eastAsia" w:ascii="Times New Roman" w:hAnsi="Times New Roman" w:eastAsia="黑体" w:cs="黑体"/>
          <w:color w:val="000000"/>
          <w:kern w:val="0"/>
          <w:sz w:val="30"/>
          <w:szCs w:val="30"/>
          <w:lang w:val="en-US" w:eastAsia="zh-CN" w:bidi="ar"/>
        </w:rPr>
        <w:t>（二）综合素质评价认定标准</w:t>
      </w:r>
      <w:r>
        <w:rPr>
          <w:rFonts w:ascii="Times New Roman" w:hAnsi="Times New Roman" w:eastAsia="黑体" w:cs="黑体"/>
          <w:color w:val="000000"/>
          <w:kern w:val="0"/>
          <w:sz w:val="30"/>
          <w:szCs w:val="30"/>
          <w:lang w:val="en-US" w:eastAsia="zh-CN" w:bidi="ar"/>
        </w:rPr>
        <w:t xml:space="preserve"> </w:t>
      </w:r>
    </w:p>
    <w:p w14:paraId="7F4B1565">
      <w:pPr>
        <w:keepNext w:val="0"/>
        <w:keepLines w:val="0"/>
        <w:widowControl/>
        <w:suppressLineNumbers w:val="0"/>
        <w:ind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综合素质评价成绩，用于评价学生全面发展方面的表现，如参军入伍服兵役、参加志愿服务或公益活动、到国际组织实习交流、获发明专利（含软著等）、参加全国性体育或艺术比赛获奖等，不得与学术专长成绩认定项目重复，总分不超过10分，具体见下表：</w:t>
      </w:r>
    </w:p>
    <w:p w14:paraId="50EB729B">
      <w:pPr>
        <w:spacing w:line="360" w:lineRule="auto"/>
        <w:jc w:val="center"/>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rPr>
        <w:t>表</w:t>
      </w:r>
      <w:r>
        <w:rPr>
          <w:rFonts w:hint="eastAsia" w:ascii="Times New Roman" w:hAnsi="Times New Roman" w:eastAsia="宋体" w:cs="宋体"/>
          <w:b/>
          <w:bCs/>
          <w:sz w:val="24"/>
          <w:szCs w:val="24"/>
          <w:lang w:val="en-US" w:eastAsia="zh-CN"/>
        </w:rPr>
        <w:t>3</w:t>
      </w:r>
      <w:r>
        <w:rPr>
          <w:rFonts w:hint="eastAsia" w:ascii="Times New Roman" w:hAnsi="Times New Roman" w:eastAsia="宋体" w:cs="宋体"/>
          <w:b/>
          <w:bCs/>
          <w:sz w:val="24"/>
          <w:szCs w:val="24"/>
        </w:rPr>
        <w:t xml:space="preserve"> </w:t>
      </w:r>
      <w:r>
        <w:rPr>
          <w:rFonts w:hint="eastAsia" w:ascii="Times New Roman" w:hAnsi="Times New Roman" w:eastAsia="宋体" w:cs="宋体"/>
          <w:b/>
          <w:bCs/>
          <w:sz w:val="24"/>
          <w:szCs w:val="24"/>
          <w:lang w:val="en-US" w:eastAsia="zh-CN"/>
        </w:rPr>
        <w:t>推荐优秀应届本科生免试攻读硕士学位研究生综合素质评价标准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344"/>
        <w:gridCol w:w="5891"/>
      </w:tblGrid>
      <w:tr w14:paraId="0E9D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14:paraId="335BC077">
            <w:pPr>
              <w:spacing w:line="360" w:lineRule="auto"/>
              <w:jc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类别</w:t>
            </w:r>
          </w:p>
        </w:tc>
        <w:tc>
          <w:tcPr>
            <w:tcW w:w="1344" w:type="dxa"/>
            <w:vAlign w:val="center"/>
          </w:tcPr>
          <w:p w14:paraId="6B3E760A">
            <w:pPr>
              <w:spacing w:line="360" w:lineRule="auto"/>
              <w:jc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分值区间</w:t>
            </w:r>
          </w:p>
        </w:tc>
        <w:tc>
          <w:tcPr>
            <w:tcW w:w="5891" w:type="dxa"/>
            <w:vAlign w:val="center"/>
          </w:tcPr>
          <w:p w14:paraId="7581A166">
            <w:pPr>
              <w:spacing w:line="360" w:lineRule="auto"/>
              <w:jc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说明</w:t>
            </w:r>
          </w:p>
        </w:tc>
      </w:tr>
      <w:tr w14:paraId="5BDF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14:paraId="7B9419D3">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参军入伍服兵役</w:t>
            </w:r>
          </w:p>
        </w:tc>
        <w:tc>
          <w:tcPr>
            <w:tcW w:w="1344" w:type="dxa"/>
            <w:vAlign w:val="center"/>
          </w:tcPr>
          <w:p w14:paraId="1AB2C2CA">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0-3</w:t>
            </w:r>
          </w:p>
        </w:tc>
        <w:tc>
          <w:tcPr>
            <w:tcW w:w="5891" w:type="dxa"/>
            <w:vAlign w:val="center"/>
          </w:tcPr>
          <w:p w14:paraId="387A227D">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学生在校期间参军入伍服兵役的计1分，荣获三等功计1.5分，荣获二等功计2分，荣获一等功计3分。</w:t>
            </w:r>
          </w:p>
        </w:tc>
      </w:tr>
      <w:tr w14:paraId="09C9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14:paraId="3EBF01AF">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志愿服务</w:t>
            </w:r>
          </w:p>
        </w:tc>
        <w:tc>
          <w:tcPr>
            <w:tcW w:w="1344" w:type="dxa"/>
            <w:vAlign w:val="center"/>
          </w:tcPr>
          <w:p w14:paraId="38D72080">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0-1</w:t>
            </w:r>
          </w:p>
        </w:tc>
        <w:tc>
          <w:tcPr>
            <w:tcW w:w="5891" w:type="dxa"/>
            <w:vAlign w:val="center"/>
          </w:tcPr>
          <w:p w14:paraId="033224B1">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志愿服务累计不超过1分，具体计分规则如下：</w:t>
            </w:r>
          </w:p>
          <w:p w14:paraId="788FA6E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圆满完成具有国际国内重大影响、学校或学院团委组织的志愿服务且在志愿服务中表现突出、在全国范围内产生较大影响者，由学院按照从严从紧的原则认定并确定具体加分分值。</w:t>
            </w:r>
          </w:p>
          <w:p w14:paraId="02AEE9F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任学校、学院团委学生会主要学生干部（部长及以上级别）、新生助理班主任或军训教官，</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color w:val="000000"/>
                <w:kern w:val="0"/>
                <w:sz w:val="24"/>
                <w:szCs w:val="24"/>
                <w:highlight w:val="none"/>
                <w:lang w:val="en-US" w:eastAsia="zh-CN" w:bidi="ar"/>
              </w:rPr>
              <w:t>0.1分，累计不超过0.2分。</w:t>
            </w:r>
          </w:p>
        </w:tc>
      </w:tr>
      <w:tr w14:paraId="08F4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14:paraId="73800DEE">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国际组织实习</w:t>
            </w:r>
          </w:p>
        </w:tc>
        <w:tc>
          <w:tcPr>
            <w:tcW w:w="1344" w:type="dxa"/>
            <w:vAlign w:val="center"/>
          </w:tcPr>
          <w:p w14:paraId="0EE548C1">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0-0.5</w:t>
            </w:r>
          </w:p>
        </w:tc>
        <w:tc>
          <w:tcPr>
            <w:tcW w:w="5891" w:type="dxa"/>
            <w:vAlign w:val="center"/>
          </w:tcPr>
          <w:p w14:paraId="34A5DC36">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大学期间参加并完成国家留学基金委或学院认可的国际组织实习项目，累计不超过0.5分，具体计分规则如下：</w:t>
            </w:r>
          </w:p>
          <w:p w14:paraId="0D8266AC">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1.12个月及以上计0.5分；</w:t>
            </w:r>
          </w:p>
          <w:p w14:paraId="1428DC27">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2.6个月及以上，12个月以下，计0.3分；</w:t>
            </w:r>
          </w:p>
          <w:p w14:paraId="37E36ACA">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3.3个月以上，6个月以下，计0.1分</w:t>
            </w:r>
          </w:p>
        </w:tc>
      </w:tr>
      <w:tr w14:paraId="35CE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14:paraId="7483C170">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学术论文、发明专利与软著、竞赛获奖（非学校认定的A类B类竞赛）</w:t>
            </w:r>
          </w:p>
        </w:tc>
        <w:tc>
          <w:tcPr>
            <w:tcW w:w="1344" w:type="dxa"/>
            <w:vAlign w:val="center"/>
          </w:tcPr>
          <w:p w14:paraId="72DF06E8">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0-3.5</w:t>
            </w:r>
          </w:p>
        </w:tc>
        <w:tc>
          <w:tcPr>
            <w:tcW w:w="5891" w:type="dxa"/>
            <w:vAlign w:val="center"/>
          </w:tcPr>
          <w:p w14:paraId="2C4D6F7B">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竞赛获奖计分规则如下：省级A类学科竞赛一等奖及以上计1分，多位成员（有效名次为前五）按照排序计分：第一按满额业绩分计算；第二、三按照50%计算，第四、五按照25%计算；如有我校教师署名，学生排序依次前移。</w:t>
            </w:r>
          </w:p>
          <w:p w14:paraId="7DE9B62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论文计分规则如下：以独立作者或第一作者发表，或与指导老师联合发表（仅限指导老师作为第一作者，学生作为第二作者的情况）在本学科非A类期刊（北大核心、CSCD扩展版、蓝皮书、中国社会科学文摘、B3级及以上智库成果、新华文摘观点摘编等）公开发表学术论文，一篇计0.5分，刊物级别由院学术委员会认定。</w:t>
            </w:r>
          </w:p>
          <w:p w14:paraId="3039DC1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以独立作者或第一作者，或与指导老师联合（仅限指导老师作为第一作者，学生作为第二作者的情况）获得发明专利计0.8分，获得软著计0.1分。</w:t>
            </w:r>
          </w:p>
        </w:tc>
      </w:tr>
      <w:tr w14:paraId="7416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287" w:type="dxa"/>
            <w:shd w:val="clear" w:color="auto" w:fill="auto"/>
            <w:vAlign w:val="center"/>
          </w:tcPr>
          <w:p w14:paraId="7E0E615F">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lang w:val="en-US" w:eastAsia="zh-CN" w:bidi="ar"/>
              </w:rPr>
            </w:pPr>
          </w:p>
          <w:p w14:paraId="0B091437">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lang w:val="en-US" w:eastAsia="zh-CN" w:bidi="ar"/>
              </w:rPr>
            </w:pPr>
          </w:p>
          <w:p w14:paraId="76261030">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lang w:val="en-US" w:eastAsia="zh-CN" w:bidi="ar"/>
              </w:rPr>
            </w:pPr>
          </w:p>
          <w:p w14:paraId="48C7D67B">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全国性体育或艺术比赛获奖</w:t>
            </w:r>
          </w:p>
          <w:p w14:paraId="7FAA2AD8">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vertAlign w:val="baseline"/>
                <w:lang w:val="en-US" w:eastAsia="zh-CN" w:bidi="ar"/>
              </w:rPr>
              <w:t>以及荣誉表彰</w:t>
            </w:r>
          </w:p>
        </w:tc>
        <w:tc>
          <w:tcPr>
            <w:tcW w:w="1344" w:type="dxa"/>
            <w:shd w:val="clear" w:color="auto" w:fill="auto"/>
            <w:vAlign w:val="center"/>
          </w:tcPr>
          <w:p w14:paraId="3CA51ABC">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p w14:paraId="5CF7A135">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p w14:paraId="1FA5E57F">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p w14:paraId="3C09883A">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p w14:paraId="1E37E532">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0-1</w:t>
            </w:r>
          </w:p>
        </w:tc>
        <w:tc>
          <w:tcPr>
            <w:tcW w:w="5891" w:type="dxa"/>
            <w:shd w:val="clear" w:color="auto" w:fill="auto"/>
            <w:vAlign w:val="center"/>
          </w:tcPr>
          <w:p w14:paraId="6C616FB8">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1.参加全国性体育或艺术比赛获奖，具体计分规则如下：</w:t>
            </w:r>
            <w:r>
              <w:rPr>
                <w:rFonts w:hint="eastAsia" w:ascii="宋体" w:hAnsi="宋体" w:eastAsia="宋体" w:cs="宋体"/>
                <w:sz w:val="24"/>
                <w:szCs w:val="24"/>
                <w:highlight w:val="none"/>
              </w:rPr>
              <w:t>国家级一等奖</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sz w:val="24"/>
                <w:szCs w:val="24"/>
                <w:highlight w:val="none"/>
                <w:lang w:val="en-US" w:eastAsia="zh-CN"/>
              </w:rPr>
              <w:t>0.5分；</w:t>
            </w:r>
            <w:r>
              <w:rPr>
                <w:rFonts w:hint="eastAsia" w:ascii="宋体" w:hAnsi="宋体" w:eastAsia="宋体" w:cs="宋体"/>
                <w:sz w:val="24"/>
                <w:szCs w:val="24"/>
                <w:highlight w:val="none"/>
              </w:rPr>
              <w:t>国家级</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等奖</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sz w:val="24"/>
                <w:szCs w:val="24"/>
                <w:highlight w:val="none"/>
                <w:lang w:val="en-US" w:eastAsia="zh-CN"/>
              </w:rPr>
              <w:t>0.3分；</w:t>
            </w:r>
            <w:r>
              <w:rPr>
                <w:rFonts w:hint="eastAsia" w:ascii="宋体" w:hAnsi="宋体" w:eastAsia="宋体" w:cs="宋体"/>
                <w:sz w:val="24"/>
                <w:szCs w:val="24"/>
                <w:highlight w:val="none"/>
              </w:rPr>
              <w:t>国家级</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等奖</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sz w:val="24"/>
                <w:szCs w:val="24"/>
                <w:highlight w:val="none"/>
                <w:lang w:val="en-US" w:eastAsia="zh-CN"/>
              </w:rPr>
              <w:t>0.1分。</w:t>
            </w:r>
          </w:p>
          <w:p w14:paraId="58D66967">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2.荣誉表彰累计加分不超过0.5分，计分规则如下：</w:t>
            </w:r>
          </w:p>
          <w:p w14:paraId="19C77F05">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国家级：大学期间获得全国道德模范、中国大学生年度人物、全国优秀共产员、全国优秀共青团员其中一项者，</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color w:val="000000"/>
                <w:kern w:val="0"/>
                <w:sz w:val="24"/>
                <w:szCs w:val="24"/>
                <w:highlight w:val="none"/>
                <w:lang w:val="en-US" w:eastAsia="zh-CN" w:bidi="ar"/>
              </w:rPr>
              <w:t>0.5分；获全国三好学生、全国大学生自强之星等荣誉者，</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color w:val="000000"/>
                <w:kern w:val="0"/>
                <w:sz w:val="24"/>
                <w:szCs w:val="24"/>
                <w:highlight w:val="none"/>
                <w:lang w:val="en-US" w:eastAsia="zh-CN" w:bidi="ar"/>
              </w:rPr>
              <w:t>0.3分。</w:t>
            </w:r>
          </w:p>
          <w:p w14:paraId="55678061">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省部级：大学期间获省三好学生、省优秀学生干部、省优秀共产党员、省优秀共青团员等，每一项</w:t>
            </w:r>
            <w:r>
              <w:rPr>
                <w:rFonts w:hint="eastAsia" w:ascii="宋体" w:hAnsi="宋体" w:eastAsia="宋体" w:cs="宋体"/>
                <w:color w:val="000000"/>
                <w:kern w:val="0"/>
                <w:sz w:val="24"/>
                <w:szCs w:val="24"/>
                <w:highlight w:val="none"/>
                <w:vertAlign w:val="baseline"/>
                <w:lang w:val="en-US" w:eastAsia="zh-CN" w:bidi="ar"/>
              </w:rPr>
              <w:t>计</w:t>
            </w:r>
            <w:r>
              <w:rPr>
                <w:rFonts w:hint="eastAsia" w:ascii="宋体" w:hAnsi="宋体" w:eastAsia="宋体" w:cs="宋体"/>
                <w:color w:val="000000"/>
                <w:kern w:val="0"/>
                <w:sz w:val="24"/>
                <w:szCs w:val="24"/>
                <w:highlight w:val="none"/>
                <w:lang w:val="en-US" w:eastAsia="zh-CN" w:bidi="ar"/>
              </w:rPr>
              <w:t>0.1分。</w:t>
            </w:r>
          </w:p>
          <w:p w14:paraId="3BCB2DF0">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同一项目不累计，只取最高值。</w:t>
            </w:r>
          </w:p>
        </w:tc>
      </w:tr>
      <w:tr w14:paraId="2DDF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14:paraId="5123DCAD">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创新创业</w:t>
            </w:r>
          </w:p>
        </w:tc>
        <w:tc>
          <w:tcPr>
            <w:tcW w:w="1344" w:type="dxa"/>
            <w:vAlign w:val="center"/>
          </w:tcPr>
          <w:p w14:paraId="2AF789EA">
            <w:pPr>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0-1</w:t>
            </w:r>
          </w:p>
        </w:tc>
        <w:tc>
          <w:tcPr>
            <w:tcW w:w="5891" w:type="dxa"/>
            <w:vAlign w:val="center"/>
          </w:tcPr>
          <w:p w14:paraId="0189F330">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1.立项国家级大学生创新创业项目训练计划项目的加0.2分，结项计0.8分；立项并结项省级大学生创新创业项目训练计划项目的计0.5分。</w:t>
            </w:r>
          </w:p>
          <w:p w14:paraId="75FBCAB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学生作为创业项目负责人获得省级及以上大学生创投基金投资，计1分；学生作为法定代表人创办企业并入驻学校创业孵化基地的，计0.5分；学生作为法定代表人在湖南创办工商企业并成功运营1年及以上，提供工商税务登记或营业执照副本、一年以上的资金流水证明材料的，计0.2分。</w:t>
            </w:r>
          </w:p>
          <w:p w14:paraId="1DCF16F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vertAlign w:val="baseline"/>
                <w:lang w:val="en-US" w:eastAsia="zh-CN" w:bidi="ar"/>
              </w:rPr>
              <w:t>同一项目不累计，只取最高值。</w:t>
            </w:r>
          </w:p>
        </w:tc>
      </w:tr>
    </w:tbl>
    <w:p w14:paraId="21D07377">
      <w:pPr>
        <w:keepNext w:val="0"/>
        <w:keepLines w:val="0"/>
        <w:widowControl/>
        <w:suppressLineNumbers w:val="0"/>
        <w:jc w:val="both"/>
        <w:rPr>
          <w:rFonts w:hint="eastAsia" w:ascii="Times New Roman" w:hAnsi="Times New Roman" w:eastAsia="黑体" w:cs="黑体"/>
          <w:color w:val="000000"/>
          <w:kern w:val="0"/>
          <w:sz w:val="30"/>
          <w:szCs w:val="30"/>
          <w:lang w:val="en-US" w:eastAsia="zh-CN" w:bidi="ar"/>
        </w:rPr>
      </w:pPr>
    </w:p>
    <w:p w14:paraId="63FA0B74">
      <w:pPr>
        <w:keepNext w:val="0"/>
        <w:keepLines w:val="0"/>
        <w:widowControl/>
        <w:suppressLineNumbers w:val="0"/>
        <w:jc w:val="both"/>
        <w:rPr>
          <w:rFonts w:hint="eastAsia" w:ascii="Times New Roman" w:hAnsi="Times New Roman" w:eastAsia="黑体" w:cs="黑体"/>
          <w:color w:val="000000"/>
          <w:kern w:val="0"/>
          <w:sz w:val="30"/>
          <w:szCs w:val="30"/>
          <w:lang w:val="en-US" w:eastAsia="zh-CN" w:bidi="ar"/>
        </w:rPr>
      </w:pPr>
      <w:r>
        <w:rPr>
          <w:rFonts w:hint="eastAsia" w:ascii="Times New Roman" w:hAnsi="Times New Roman" w:eastAsia="黑体" w:cs="黑体"/>
          <w:color w:val="000000"/>
          <w:kern w:val="0"/>
          <w:sz w:val="30"/>
          <w:szCs w:val="30"/>
          <w:lang w:val="en-US" w:eastAsia="zh-CN" w:bidi="ar"/>
        </w:rPr>
        <w:t>四、注意事项</w:t>
      </w:r>
    </w:p>
    <w:p w14:paraId="15DA147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1.不得专门组织遴选推免生的考试（包括笔试、面试等），不得为仅符合单一或部分遴选指标的学生单列计划或破格推荐，不得擅自降低推免选拔标准。</w:t>
      </w:r>
    </w:p>
    <w:p w14:paraId="05AE0BD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2.学生与其亲属或其他利益相关者合作的科研成果、竞赛奖项等仅作为参考，原则上不纳入学生本人推免遴选综合评价成绩计算体系。</w:t>
      </w:r>
    </w:p>
    <w:p w14:paraId="6643CB1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科学评定综合素质成绩。在学业成绩和学术专长成绩基础上，各学院根据学科专业特点，在推免实施细则中设置综合素质评价成绩，用于评价学生其他特长表现，如参军入伍服兵役、参加有组织志愿服务、到国际组织实习交流、获发明专利（含软著等）、参加全国性体育或艺术比赛获奖等，不得与学术专长成绩认定项目重复。综合素质评价成绩的评定细则须科学、规范、明确，经推免遴选工作领导小组审核备案后执行。</w:t>
      </w:r>
    </w:p>
    <w:p w14:paraId="2603019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健全回避制度，各单位推免相关工作人员有直系亲属或利益相关人员报名参加学校推免的，应主动申请回避；有非直系亲属等报名参加推免的，要主动报备。强化对教职工特别是领导干部子女在本校参加推免的监管，相关学生申请推免资格时也应主动报备。</w:t>
      </w:r>
    </w:p>
    <w:p w14:paraId="6233C2CA">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5.公示期间，公示内容原则上不得修改。如有必要变动，须对变动部分作出说明，并对变动内容另公示相同天数。</w:t>
      </w:r>
    </w:p>
    <w:p w14:paraId="6F70CC7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6.各推荐单位须严格依据教育部、学校有关推免工作文件，对本单位推免管理制度、办法、细则等进行自查，对不符合规定的事项，要迅速整改并及时完成。</w:t>
      </w:r>
    </w:p>
    <w:p w14:paraId="279DFA1D">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7.充分保障推免生的自主报考，不得以任何形式限制推免生自主报考。</w:t>
      </w:r>
    </w:p>
    <w:p w14:paraId="78D672B0">
      <w:pPr>
        <w:keepNext w:val="0"/>
        <w:keepLines w:val="0"/>
        <w:widowControl/>
        <w:suppressLineNumbers w:val="0"/>
        <w:ind w:firstLine="600" w:firstLineChars="200"/>
        <w:jc w:val="both"/>
        <w:rPr>
          <w:rFonts w:hint="eastAsia" w:ascii="Times New Roman" w:hAnsi="Times New Roman" w:eastAsia="黑体" w:cs="黑体"/>
          <w:color w:val="000000"/>
          <w:kern w:val="0"/>
          <w:sz w:val="30"/>
          <w:szCs w:val="30"/>
          <w:lang w:val="en-US" w:eastAsia="zh-CN" w:bidi="ar"/>
        </w:rPr>
      </w:pPr>
    </w:p>
    <w:p w14:paraId="6DDF247D">
      <w:pPr>
        <w:keepNext w:val="0"/>
        <w:keepLines w:val="0"/>
        <w:widowControl/>
        <w:suppressLineNumbers w:val="0"/>
        <w:ind w:firstLine="560" w:firstLineChars="200"/>
        <w:jc w:val="right"/>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湖南工商大学公共管理与人文地理学院</w:t>
      </w:r>
    </w:p>
    <w:p w14:paraId="6C6FF195">
      <w:pPr>
        <w:keepNext w:val="0"/>
        <w:keepLines w:val="0"/>
        <w:widowControl/>
        <w:suppressLineNumbers w:val="0"/>
        <w:ind w:firstLine="560" w:firstLineChars="200"/>
        <w:jc w:val="right"/>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2025年8月22日</w:t>
      </w:r>
    </w:p>
    <w:p w14:paraId="373074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82C0A"/>
    <w:multiLevelType w:val="singleLevel"/>
    <w:tmpl w:val="B7382C0A"/>
    <w:lvl w:ilvl="0" w:tentative="0">
      <w:start w:val="1"/>
      <w:numFmt w:val="decimal"/>
      <w:lvlText w:val="%1."/>
      <w:lvlJc w:val="left"/>
      <w:pPr>
        <w:tabs>
          <w:tab w:val="left" w:pos="312"/>
        </w:tabs>
      </w:pPr>
    </w:lvl>
  </w:abstractNum>
  <w:abstractNum w:abstractNumId="1">
    <w:nsid w:val="CAB4ABFF"/>
    <w:multiLevelType w:val="singleLevel"/>
    <w:tmpl w:val="CAB4ABF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A77AB"/>
    <w:rsid w:val="083A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2025-08-23T03:01:00Z</dcterms:created>
  <dc:creator>渡边早季</dc:creator>
  <cp:lastModifiedBy>渡边早季</cp:lastModifiedBy>
  <dcterms:modified xsi:type="dcterms:W3CDTF">2025-08-23T03:02:21Z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0D5443A8212F4B01873F0E67CB76EA0F_11</vt:lpwstr>
  </property>
  <property fmtid="{D5CDD505-2E9C-101B-9397-08002B2CF9AE}" pid="4" name="KSOTemplateDocerSaveRecord">
    <vt:lpwstr>eyJoZGlkIjoiOWY1YmVkZTI1OTFkNTgyMzQ5MDI2Y2NlNTc0MDRhOGYiLCJ1c2VySWQiOiIzNDcyMzk0NDkifQ==</vt:lpwstr>
  </property>
</Properties>
</file>